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"https://assignbuster.com/corrigendum-determinants-of-vaccination-coverage-and-consequences-for-rabies-control-in-bali-indonesia/"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determinants of vaccination coverage and consequences for rabies con...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Determinants of Vaccination Coverage and Consequences for Rabies Control in Bali, Indonesia </w:t>
          <w:br/>
        </w:r>
        <w:r>
          <w:rPr>
            <w:rStyle w:val="a8"/>
            <w:i/>
          </w:rPr>
          <w:t xml:space="preserve">by Arief RA, Hampson K, Jatikusumah A, Widyastuti MDW, Sunandar, Basri C, et al. Front Vet Sci (2017) 3: 123. doi: 10. 3389/fvets. 2016. 00123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Incorrect Funding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error in the Funding statement. The correct number forWellcome Trustis095787/Z/11/Z to KH. 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https://assignbuster.com/corrigendum-determinants-of-vaccination-coverage-and-consequences-for-rabies-control-in-bali-indonesia/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determinants of vaccination...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vets.2016.00123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determinants of vaccination coverage and consequences for rabies con...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determinants of vaccination coverage and consequences for rabies con...</dc:title>
  <dc:subject>Health &amp; Medicine;</dc:subject>
  <dc:creator>AssignBuster</dc:creator>
  <cp:keywords/>
  <dc:description>The authors apologize for this error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