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survival in patients with brain metastasis</w:t>
        </w:r>
      </w:hyperlink>
      <w:bookmarkEnd w:id="0"/>
    </w:p>
    <w:p>
      <w:r>
        <w:br w:type="page"/>
      </w:r>
    </w:p>
    <w:p>
      <w:pPr>
        <w:pStyle w:val="TextBody"/>
        <w:bidi w:val="0"/>
        <w:jc w:val="start"/>
        <w:rPr/>
      </w:pPr>
      <w:r>
        <w:rPr/>
        <w:t xml:space="preserve">Prognostic factors affecting the survival in patients with brain metastasis: A Retrospective study </w:t>
      </w:r>
    </w:p>
    <w:p>
      <w:pPr>
        <w:pStyle w:val="TextBody"/>
        <w:bidi w:val="0"/>
        <w:spacing w:before="0" w:after="283"/>
        <w:jc w:val="start"/>
        <w:rPr/>
      </w:pPr>
      <w:r>
        <w:rPr/>
        <w:t xml:space="preserve">Abstract </w:t>
      </w:r>
    </w:p>
    <w:p>
      <w:pPr>
        <w:pStyle w:val="TextBody"/>
        <w:bidi w:val="0"/>
        <w:spacing w:before="0" w:after="283"/>
        <w:jc w:val="start"/>
        <w:rPr/>
      </w:pPr>
      <w:r>
        <w:rPr/>
        <w:t xml:space="preserve">Aims: To determine long term survival and prognostic factors in patients with brain metastases who underwent whole brain radiotherapy. </w:t>
      </w:r>
    </w:p>
    <w:p>
      <w:pPr>
        <w:pStyle w:val="TextBody"/>
        <w:bidi w:val="0"/>
        <w:spacing w:before="0" w:after="283"/>
        <w:jc w:val="start"/>
        <w:rPr/>
      </w:pPr>
      <w:r>
        <w:rPr/>
        <w:t xml:space="preserve">Introduction: Multiple brain metastases are unfortunate consequence, frequently found in patients of advanced cancer. The prognosis, even after treatment with Whole-Brain Radiation Therapy (WBRT) is poor with an average expected survival time of &lt;6 months by all possible efforts. </w:t>
      </w:r>
    </w:p>
    <w:p>
      <w:pPr>
        <w:pStyle w:val="TextBody"/>
        <w:bidi w:val="0"/>
        <w:spacing w:before="0" w:after="283"/>
        <w:jc w:val="start"/>
        <w:rPr/>
      </w:pPr>
      <w:r>
        <w:rPr/>
        <w:t xml:space="preserve">Materials &amp; methods: From January 2005 to August 2010, medical records of 186 patients with diagnosis of brain metastasis were analyzed. Out of these, 140 patients who received WBRT ± chemotherapy were included and 26 patients who did not take any treatment for brain metastasis were excluded from the study. The prognostic factors evaluated for overall survival were ECOG performance status, gender, age, number of lesions, primary tumor site, primary tumor status, extracranial metastases and chemotherapy &amp; radiotherapy. </w:t>
      </w:r>
    </w:p>
    <w:p>
      <w:pPr>
        <w:pStyle w:val="TextBody"/>
        <w:bidi w:val="0"/>
        <w:spacing w:before="0" w:after="283"/>
        <w:jc w:val="start"/>
        <w:rPr/>
      </w:pPr>
      <w:r>
        <w:rPr/>
        <w:t xml:space="preserve">Results: The overall median survival was three months and one &amp; two year survival was 8. 57% and 3. 57%, respectively. The most common primary tumor site was lung 82 (44. 08%) followed by breast 46 (24. 73%), renal cell carcinoma 11 (5. 91%) and unknown primary 11 (5. 91%). The overall median survival was 3 months, maximum being 4. 5 months in patients with breast cancer. and at one year survival 6/33(18. 2%) in breast cancer patients (p= 0. 10). In this series, the patients with higher perform status (p= 0. 21), cancer breast (p= 0. 10) and solitary brain metastasis (p= 0. 0003) with primary tumor controlled (p= 0. 14) had better survival. </w:t>
      </w:r>
    </w:p>
    <w:p>
      <w:pPr>
        <w:pStyle w:val="TextBody"/>
        <w:bidi w:val="0"/>
        <w:spacing w:before="0" w:after="283"/>
        <w:jc w:val="start"/>
        <w:rPr/>
      </w:pPr>
      <w:r>
        <w:rPr/>
        <w:t xml:space="preserve">Conclusion: This study suggests that patients with some prognostic factors have good survival. So the overall assessment of the patient is always best done at the bedside and must be individualized. The above mentioned clinical features should be considered and hopefully will aid in the decision regarding treatment of brain metastases. </w:t>
      </w:r>
    </w:p>
    <w:p>
      <w:pPr>
        <w:pStyle w:val="TextBody"/>
        <w:bidi w:val="0"/>
        <w:spacing w:before="0" w:after="283"/>
        <w:jc w:val="start"/>
        <w:rPr/>
      </w:pPr>
      <w:r>
        <w:rPr/>
        <w:t xml:space="preserve">Key words: Brain metastasis, prognostic factors, solitary metastasis, whole brain radiotherapy. </w:t>
      </w:r>
    </w:p>
    <w:p>
      <w:pPr>
        <w:pStyle w:val="TextBody"/>
        <w:bidi w:val="0"/>
        <w:spacing w:before="0" w:after="283"/>
        <w:jc w:val="start"/>
        <w:rPr/>
      </w:pPr>
      <w:r>
        <w:rPr/>
        <w:t xml:space="preserve">Introduction </w:t>
      </w:r>
    </w:p>
    <w:p>
      <w:pPr>
        <w:pStyle w:val="TextBody"/>
        <w:bidi w:val="0"/>
        <w:spacing w:before="0" w:after="283"/>
        <w:jc w:val="start"/>
        <w:rPr/>
      </w:pPr>
      <w:r>
        <w:rPr/>
        <w:t xml:space="preserve">Brain metastasis is one of the most feared consequences of cancer. It is devastating both to patients and their families. Progression of brain metastases may cause headache, nausea, vomiting, neurological deficits, cognitive decline, delirium and eventually death. Patients with brain metastases present dilemma for palliative health care professionals in terms of whether to proceed with whole brain radiotherapy or hospice placement. Metastasis to the brain occurs in approximately 20% of the patients with limited survival and worse quality of life. </w:t>
      </w:r>
      <w:r>
        <w:rPr>
          <w:position w:val="8"/>
          <w:sz w:val="19"/>
        </w:rPr>
        <w:t xml:space="preserve">[1] </w:t>
      </w:r>
      <w:r>
        <w:rPr/>
        <w:t xml:space="preserve">Glucocorticoids and whole brain radiotherapy (WBRT) has been the mainstay of treatment while craniotomy for tumor resection has been the standard local treatment for solitary lesion. The median survival of untreated patients is approximately one month, 1. 6 months in patients treated with steroids only, 3. 6 months in patients treated with radiotherapy and 8. 9 months in patients treated with neurosurgery followed by radiotherapy. </w:t>
      </w:r>
      <w:r>
        <w:rPr>
          <w:position w:val="8"/>
          <w:sz w:val="19"/>
        </w:rPr>
        <w:t xml:space="preserve">[2, 3] </w:t>
      </w:r>
      <w:r>
        <w:rPr/>
        <w:t xml:space="preserve">Some of the strong prognostic factors for survival are: performance status, response to steroids and status of systemic disease. The main goal of WBRT is to improve neurologic deficits caused by the metastases and surrounding edema and to prevent any further deterioration of the neurologic function. The extent of improvement after WBRT is directly related to the time from diagnosis to radiation therapy and early treatment is generally associated with a better outcome. </w:t>
      </w:r>
      <w:r>
        <w:rPr>
          <w:position w:val="8"/>
          <w:sz w:val="19"/>
        </w:rPr>
        <w:t xml:space="preserve">[4, 5] </w:t>
      </w:r>
    </w:p>
    <w:p>
      <w:pPr>
        <w:pStyle w:val="TextBody"/>
        <w:bidi w:val="0"/>
        <w:spacing w:before="0" w:after="283"/>
        <w:jc w:val="start"/>
        <w:rPr/>
      </w:pPr>
      <w:r>
        <w:rPr/>
        <w:t xml:space="preserve">The overall response rate to WBRT ranges from 50-85% in various studies. Traditionally, surgical resection has been offered rarely to patients with multiple metastases because of resection related excessive morbidity. </w:t>
      </w:r>
      <w:r>
        <w:rPr>
          <w:u w:val="single"/>
        </w:rPr>
        <w:t xml:space="preserve">The majority of patients who achieved control of cranial metastasis died from progressive extracranial disease whereas the cause of death in most of the cases is due to CNS disease in patients with recurrent brain metastases </w:t>
      </w:r>
      <w:r>
        <w:rPr/>
        <w:t xml:space="preserve">. </w:t>
      </w:r>
      <w:r>
        <w:rPr>
          <w:position w:val="8"/>
          <w:sz w:val="19"/>
        </w:rPr>
        <w:t xml:space="preserve">[4, 6] </w:t>
      </w:r>
      <w:r>
        <w:rPr/>
        <w:t xml:space="preserve">In this study, the prognostic factors were evaluated for survival in patients with diagnosis of brain metastasis who receive WBRT. </w:t>
      </w:r>
    </w:p>
    <w:p>
      <w:pPr>
        <w:pStyle w:val="TextBody"/>
        <w:bidi w:val="0"/>
        <w:spacing w:before="0" w:after="283"/>
        <w:jc w:val="start"/>
        <w:rPr/>
      </w:pPr>
      <w:r>
        <w:rPr/>
        <w:t xml:space="preserve">Materials &amp; Methods </w:t>
      </w:r>
    </w:p>
    <w:p>
      <w:pPr>
        <w:pStyle w:val="TextBody"/>
        <w:bidi w:val="0"/>
        <w:spacing w:before="0" w:after="283"/>
        <w:jc w:val="start"/>
        <w:rPr/>
      </w:pPr>
      <w:r>
        <w:rPr/>
        <w:t xml:space="preserve">The records of 186 patients with brain metastases in between January 2005 to August 2010 were analyzed retrospectively. Out of these, 46 patients not willing for radiotherapy and who chose only best supportive care were not included in the study. All the remaining 140 patients were planned WBRT after starting dexamethasone, mannitol and other supportive treatment. With diagnosis of brain metastasis, the following variables were analyzed for survival: ECOG performance status, gender, age, number of brain lesions, primary tumor site (Table 2), extra cranial metastases, treatment of primary disease and radiotherapy (Table-1). The survival time was considered as time between diagnosis of brain metastasis and last follow up or recorded death. </w:t>
      </w:r>
    </w:p>
    <w:p>
      <w:pPr>
        <w:pStyle w:val="TextBody"/>
        <w:bidi w:val="0"/>
        <w:spacing w:before="0" w:after="283"/>
        <w:jc w:val="start"/>
        <w:rPr/>
      </w:pPr>
      <w:r>
        <w:rPr/>
        <w:t xml:space="preserve">Brain metastases were detected by computed tomography (CT) or magnetic resonance image (MRI) scan. All patients were treated with WBRT on telecobalt units Therateron 780 C and 780 E. The WBRT was given by bilateral fields. The total dose was 30-36 Gy with a median of 30 Gy delivered in two weeks, five fractions per week 3 Gy per fraction. The supportive care (dexamethasone &amp; mannitol) was started at the beginning of treatment and continued during radiotherapy. Chemotherapy was administered to the patients with good performance status and progressive systemic disease after WBRT. All statistical analyses were performed using SPSS for windows, version 20. 0. </w:t>
      </w:r>
    </w:p>
    <w:p>
      <w:pPr>
        <w:pStyle w:val="TextBody"/>
        <w:bidi w:val="0"/>
        <w:spacing w:before="0" w:after="283"/>
        <w:jc w:val="start"/>
        <w:rPr/>
      </w:pPr>
      <w:r>
        <w:rPr/>
        <w:t xml:space="preserve">Results </w:t>
      </w:r>
    </w:p>
    <w:p>
      <w:pPr>
        <w:pStyle w:val="TextBody"/>
        <w:bidi w:val="0"/>
        <w:spacing w:before="0" w:after="283"/>
        <w:jc w:val="start"/>
        <w:rPr/>
      </w:pPr>
      <w:r>
        <w:rPr/>
        <w:t xml:space="preserve">One hundred forty patients were analyzed who completed WBRT and came for follow up. The survival results were computed by recorded deaths (97 cases) or last follow up (43 cases). The overall median survival was 3 months, and the one &amp; two year survival was 12 (8. 57%) and 5 (3. 57%). </w:t>
      </w:r>
      <w:r>
        <w:rPr>
          <w:u w:val="single"/>
        </w:rPr>
        <w:t xml:space="preserve">One patient of carcinoma breast (primary under control) with brain metastasis was alive at the time of this analysis with survival time of 4. 2 years </w:t>
      </w:r>
      <w:r>
        <w:rPr/>
        <w:t xml:space="preserve">. Those patients who had solitary brain metastasis (p= 0. 0003), high ECOG performance status (p= 0. 21), controlled extracranial disease (p= 0. 14) and breast carcinoma (p= 0. 10) had better survival (Table 2 &amp; 3). The single most significant prognostic factor associated with better survival was solitary brain metastasis (p= 0. 0003). </w:t>
      </w:r>
    </w:p>
    <w:p>
      <w:pPr>
        <w:pStyle w:val="TextBody"/>
        <w:bidi w:val="0"/>
        <w:spacing w:before="0" w:after="283"/>
        <w:jc w:val="start"/>
        <w:rPr/>
      </w:pPr>
      <w:r>
        <w:rPr/>
        <w:t xml:space="preserve">Discussion </w:t>
      </w:r>
    </w:p>
    <w:p>
      <w:pPr>
        <w:pStyle w:val="TextBody"/>
        <w:bidi w:val="0"/>
        <w:spacing w:before="0" w:after="283"/>
        <w:jc w:val="start"/>
        <w:rPr/>
      </w:pPr>
      <w:r>
        <w:rPr/>
        <w:t xml:space="preserve">With gradual improvements in the care of cancer patients, longer survival is expected even in patients with metastatic disease. </w:t>
      </w:r>
      <w:r>
        <w:rPr>
          <w:u w:val="single"/>
        </w:rPr>
        <w:t xml:space="preserve">In this study, patients with brain metastases who received WBRT alone or WBRT followed by chemotherapy were evaluated. </w:t>
      </w:r>
    </w:p>
    <w:p>
      <w:pPr>
        <w:pStyle w:val="TextBody"/>
        <w:bidi w:val="0"/>
        <w:spacing w:before="0" w:after="283"/>
        <w:jc w:val="start"/>
        <w:rPr/>
      </w:pPr>
      <w:r>
        <w:rPr/>
        <w:t xml:space="preserve">Studies of ultra rapid fractionated WBRT (10 Gy in 1 fraction, 12 Gy in 2 fractions, 15 Gy in 2 fractions over 3 days) as carried out by Radiation Therapy Oncology Group (RTOG) and other investigators showed a possible increased risk of herniation and death within a few days after treatment and are generally avoided. Likewise, no advantage was seen with extended fractionation (50Gy in 20 fractions or 54. 4Gy at 1. 6Gy twice daily) compared to the more commonly prescribed 30Gy in 10 fractions. </w:t>
      </w:r>
      <w:r>
        <w:rPr>
          <w:position w:val="8"/>
          <w:sz w:val="19"/>
        </w:rPr>
        <w:t xml:space="preserve">[6, 7, 8, 9] </w:t>
      </w:r>
      <w:r>
        <w:rPr/>
        <w:t xml:space="preserve">Regimens using 10 or fewer fractions are used in patients with poor prognosis, since such patients are not expected to live long enough to experience serious side effects. The institutional protocol followed in our patients is 30 Gy in10 fractions, 3 Gy per fraction but in patients with good general condition and primary disease under control having solitary brain metastasis, the dose was escalated by 6 Gy to give total tumor dose of 36 Gy. </w:t>
      </w:r>
    </w:p>
    <w:p>
      <w:pPr>
        <w:pStyle w:val="TextBody"/>
        <w:bidi w:val="0"/>
        <w:spacing w:before="0" w:after="283"/>
        <w:jc w:val="start"/>
        <w:rPr/>
      </w:pPr>
      <w:r>
        <w:rPr/>
        <w:t xml:space="preserve">The end point of this study was to evaluate the different prognostic factors related with overall survival in patients with brain metastasis. The prognostic factors associated with better survival were solitary metastasis (p= 0. 0003), breast carcinoma (p= 0. 10), female sex (p= 0. 12), primary under control (p= 0. 14), higher ECOG performance status (p= 0. 21). These prognostic factors have also showed better survival in other studies. </w:t>
      </w:r>
      <w:r>
        <w:rPr>
          <w:position w:val="8"/>
          <w:sz w:val="19"/>
        </w:rPr>
        <w:t xml:space="preserve">[7, 10, 11, 12, 13] </w:t>
      </w:r>
      <w:r>
        <w:rPr/>
        <w:t xml:space="preserve">Out of above mentioned prognostic factors only solitary brain metastasis was statistically significant (p= 0. 0003); other factors could not show statistical significance which may be due to small number of study sample. </w:t>
      </w:r>
    </w:p>
    <w:p>
      <w:pPr>
        <w:pStyle w:val="TextBody"/>
        <w:bidi w:val="0"/>
        <w:spacing w:before="0" w:after="283"/>
        <w:jc w:val="start"/>
        <w:rPr/>
      </w:pPr>
      <w:r>
        <w:rPr/>
        <w:t xml:space="preserve">Lutterbach et al reported overall median survival of 3. 4 months, two yea and three years survival were 5. 6% (n= 48) and 2. 9% (n= 25), respectively. </w:t>
      </w:r>
      <w:r>
        <w:rPr>
          <w:position w:val="8"/>
          <w:sz w:val="19"/>
        </w:rPr>
        <w:t xml:space="preserve">[14] </w:t>
      </w:r>
      <w:r>
        <w:rPr/>
        <w:t xml:space="preserve">Survival of two years or more was observed in RTOG recursive partitioning analysis (RPA) class 1 &amp; 2 patients. Within both classes, survival was significantly better for patients with a single brain metastasis compared with those having multiple brain metastases. In our study, the overall median survival was 3 months, and the one &amp; two year survival was 8. 57% (n= 12) and 3. 57% (n= 5), respectively and solitary brain metastases survival was significantly better than multiple metastasis (p= 0. 0003). There is small difference in two years survival in both studies because in our study, no patient received Stereotactic radiosurgery (SRS); however, a larger recently published trial (RTOG 95-08) provides compelling evidence for the use of SRS boost following WBRT in patients with newly diagnosed one to three brain metastases. </w:t>
      </w:r>
      <w:r>
        <w:rPr>
          <w:position w:val="8"/>
          <w:sz w:val="19"/>
        </w:rPr>
        <w:t xml:space="preserve">[15] </w:t>
      </w:r>
    </w:p>
    <w:p>
      <w:pPr>
        <w:pStyle w:val="TextBody"/>
        <w:bidi w:val="0"/>
        <w:spacing w:before="0" w:after="283"/>
        <w:jc w:val="start"/>
        <w:rPr/>
      </w:pPr>
      <w:r>
        <w:rPr/>
        <w:t xml:space="preserve">In other recent studies, the role of WBRT following definitive treatment (surgery or SRS) of one to three metastases was most extensively evaluated in a trial conducted by the European Organization for Research and Treatment of Cancer (EORTC 22952-26001) which was presented at the American Society of Clinical Oncology (ASCO) meeting in 2009 . In that trial, 359 patients with one to three brain metastases were randomly assigned to WBRT or observation following definitive treatment of their metastases with either SRS (n = 199) or surgery (n = 160). Despite the better control of the brain metastases, overall survival was virtually the same following WBRT (median 10. 7 and 10. 9 months). </w:t>
      </w:r>
      <w:r>
        <w:rPr>
          <w:position w:val="8"/>
          <w:sz w:val="19"/>
        </w:rPr>
        <w:t xml:space="preserve">[16] </w:t>
      </w:r>
    </w:p>
    <w:p>
      <w:pPr>
        <w:pStyle w:val="TextBody"/>
        <w:bidi w:val="0"/>
        <w:spacing w:before="0" w:after="283"/>
        <w:jc w:val="start"/>
        <w:rPr/>
      </w:pPr>
      <w:r>
        <w:rPr/>
        <w:t xml:space="preserve">Pease NJ et al showed that patient’s survival with WBRT was increased by an additional three to seven months from unselected group (three to six months) if they are in the high performance status group. </w:t>
      </w:r>
      <w:r>
        <w:rPr>
          <w:position w:val="8"/>
          <w:sz w:val="19"/>
        </w:rPr>
        <w:t xml:space="preserve">[17] </w:t>
      </w:r>
      <w:r>
        <w:rPr/>
        <w:t xml:space="preserve">For those in poor performance status groups, there was no overall survival benefit. In our study, ECOG performance status 1 &amp; 2 had better overall median survival (3. 4 months) and one year survival (7. 85%) as compared to ECOG status 3 and 4 (p= 0. 21). </w:t>
      </w:r>
    </w:p>
    <w:p>
      <w:pPr>
        <w:pStyle w:val="TextBody"/>
        <w:bidi w:val="0"/>
        <w:spacing w:before="0" w:after="283"/>
        <w:jc w:val="start"/>
        <w:rPr/>
      </w:pPr>
      <w:r>
        <w:rPr/>
        <w:t xml:space="preserve">Lagerwaaed FJ et al reported that lesser systemic tumor activity was showed better median survival ranges from 6. 6 months for the ‘ none’ group (no extracranial disease) to 3. 4 months in the ‘ limited’ group and 2. 4 months in the ‘ extensive’ group (primary uncontrolled &amp; other systemic metastasis). </w:t>
      </w:r>
      <w:r>
        <w:rPr>
          <w:position w:val="8"/>
          <w:sz w:val="19"/>
        </w:rPr>
        <w:t xml:space="preserve">[18] </w:t>
      </w:r>
      <w:r>
        <w:rPr>
          <w:u w:val="single"/>
        </w:rPr>
        <w:t xml:space="preserve">In our study, overall survival was 2. 2 months &amp; 4 months in active primary disease and controlled primary with or without systemic metastases respectively. </w:t>
      </w:r>
    </w:p>
    <w:p>
      <w:pPr>
        <w:pStyle w:val="TextBody"/>
        <w:bidi w:val="0"/>
        <w:spacing w:before="0" w:after="283"/>
        <w:jc w:val="start"/>
        <w:rPr/>
      </w:pPr>
      <w:r>
        <w:rPr/>
        <w:t xml:space="preserve">In our study, female showed better survival than male patients (p= 0. 12). This may be due to all breast cancer cases were females and breast cases showed better survival than others. Other studies did not show gender related survival difference. </w:t>
      </w:r>
    </w:p>
    <w:p>
      <w:pPr>
        <w:pStyle w:val="TextBody"/>
        <w:bidi w:val="0"/>
        <w:spacing w:before="0" w:after="283"/>
        <w:jc w:val="start"/>
        <w:rPr/>
      </w:pPr>
      <w:r>
        <w:rPr/>
        <w:t xml:space="preserve">Conclusion </w:t>
      </w:r>
    </w:p>
    <w:p>
      <w:pPr>
        <w:pStyle w:val="TextBody"/>
        <w:bidi w:val="0"/>
        <w:spacing w:before="0" w:after="283"/>
        <w:jc w:val="start"/>
        <w:rPr/>
      </w:pPr>
      <w:r>
        <w:rPr/>
        <w:t xml:space="preserve">WBRT continues to be an efficacious treatment in the management of brain metastasis. Despite the use of WBRT, outcomes are poor and efforts should be made to incorporate multimodality approaches including surgery, radiosurgery, chemotherapy and radiotherapy </w:t>
      </w:r>
      <w:r>
        <w:rPr>
          <w:u w:val="single"/>
        </w:rPr>
        <w:t xml:space="preserve">sensitizers to improve survival mainly in patients with single metastasis, good performance status and extra cranial disease controlled.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Posner JB, Chernik NL. Intracranial metastases from systemic cancer. Adv Neurol 1978; 19: 579-92. </w:t>
      </w:r>
    </w:p>
    <w:p>
      <w:pPr>
        <w:pStyle w:val="TextBody"/>
        <w:numPr>
          <w:ilvl w:val="0"/>
          <w:numId w:val="2"/>
        </w:numPr>
        <w:tabs>
          <w:tab w:val="clear" w:pos="1134"/>
          <w:tab w:val="left" w:pos="707" w:leader="none"/>
        </w:tabs>
        <w:bidi w:val="0"/>
        <w:spacing w:before="0" w:after="0"/>
        <w:ind w:start="707" w:hanging="283"/>
        <w:jc w:val="start"/>
        <w:rPr/>
      </w:pPr>
      <w:r>
        <w:rPr/>
        <w:t xml:space="preserve">Coia LR. The role of radiation therapy in the treatment of brain metastases. Int J Radiat Oncol Biol Phys 1992; 23: 229-38. </w:t>
      </w:r>
    </w:p>
    <w:p>
      <w:pPr>
        <w:pStyle w:val="TextBody"/>
        <w:numPr>
          <w:ilvl w:val="0"/>
          <w:numId w:val="2"/>
        </w:numPr>
        <w:tabs>
          <w:tab w:val="clear" w:pos="1134"/>
          <w:tab w:val="left" w:pos="707" w:leader="none"/>
        </w:tabs>
        <w:bidi w:val="0"/>
        <w:spacing w:before="0" w:after="0"/>
        <w:ind w:start="707" w:hanging="283"/>
        <w:jc w:val="start"/>
        <w:rPr/>
      </w:pPr>
      <w:r>
        <w:rPr/>
        <w:t xml:space="preserve">Lagerwaard FJ, Levendag PC, Nowak PJ, Eijkenboom WM, Hanssens PE, Schmitz PI. Identification of prognostic factors in patients with brain metastases: A review of 1292 patients. Int J Radiat Oncol Biol Phys 1999; 43: 795-803. </w:t>
      </w:r>
    </w:p>
    <w:p>
      <w:pPr>
        <w:pStyle w:val="TextBody"/>
        <w:numPr>
          <w:ilvl w:val="0"/>
          <w:numId w:val="2"/>
        </w:numPr>
        <w:tabs>
          <w:tab w:val="clear" w:pos="1134"/>
          <w:tab w:val="left" w:pos="707" w:leader="none"/>
        </w:tabs>
        <w:bidi w:val="0"/>
        <w:spacing w:before="0" w:after="0"/>
        <w:ind w:start="707" w:hanging="283"/>
        <w:jc w:val="start"/>
        <w:rPr/>
      </w:pPr>
      <w:r>
        <w:rPr/>
        <w:t xml:space="preserve">Lassman AB, DeAngelis LM. Brain metastases. Neurol Clin 2003; 21: 1-23. </w:t>
      </w:r>
    </w:p>
    <w:p>
      <w:pPr>
        <w:pStyle w:val="TextBody"/>
        <w:numPr>
          <w:ilvl w:val="0"/>
          <w:numId w:val="2"/>
        </w:numPr>
        <w:tabs>
          <w:tab w:val="clear" w:pos="1134"/>
          <w:tab w:val="left" w:pos="707" w:leader="none"/>
        </w:tabs>
        <w:bidi w:val="0"/>
        <w:spacing w:before="0" w:after="0"/>
        <w:ind w:start="707" w:hanging="283"/>
        <w:jc w:val="start"/>
        <w:rPr/>
      </w:pPr>
      <w:r>
        <w:rPr/>
        <w:t xml:space="preserve">Patchell RA, Regine WF. The rationale for adjuvant whole brain radiation therapy with radiosurgery in the treatment of single brain metastases. Technol Cancer Res Treat 2003; 2: 111-5. </w:t>
      </w:r>
    </w:p>
    <w:p>
      <w:pPr>
        <w:pStyle w:val="TextBody"/>
        <w:numPr>
          <w:ilvl w:val="0"/>
          <w:numId w:val="2"/>
        </w:numPr>
        <w:tabs>
          <w:tab w:val="clear" w:pos="1134"/>
          <w:tab w:val="left" w:pos="707" w:leader="none"/>
        </w:tabs>
        <w:bidi w:val="0"/>
        <w:spacing w:before="0" w:after="0"/>
        <w:ind w:start="707" w:hanging="283"/>
        <w:jc w:val="start"/>
        <w:rPr/>
      </w:pPr>
      <w:r>
        <w:rPr/>
        <w:t xml:space="preserve">Borgelt B, Gelber R, Larson M, Hendrickson F, Griffin T, Roth R. Ultra-rapid high dose irradiation schedules for the palliation of brain metastases: final results of the first two studies by the Radiation Therapy Oncology Group. Int J Radiat Oncol Biol Phys 1981; 7: 1633-8. </w:t>
      </w:r>
    </w:p>
    <w:p>
      <w:pPr>
        <w:pStyle w:val="TextBody"/>
        <w:numPr>
          <w:ilvl w:val="0"/>
          <w:numId w:val="2"/>
        </w:numPr>
        <w:tabs>
          <w:tab w:val="clear" w:pos="1134"/>
          <w:tab w:val="left" w:pos="707" w:leader="none"/>
        </w:tabs>
        <w:bidi w:val="0"/>
        <w:spacing w:before="0" w:after="0"/>
        <w:ind w:start="707" w:hanging="283"/>
        <w:jc w:val="start"/>
        <w:rPr/>
      </w:pPr>
      <w:r>
        <w:rPr/>
        <w:t xml:space="preserve">Borgelt B, Gelber R, Kramer S, Brady LW, Chang CH, Davis LW, et al. The palliation of brain metastases: final results of the first two studies by the Radiation Therapy Oncology Group. Int J Radiat Oncol Biol Phys 1980; 6: 1-9. </w:t>
      </w:r>
    </w:p>
    <w:p>
      <w:pPr>
        <w:pStyle w:val="TextBody"/>
        <w:numPr>
          <w:ilvl w:val="0"/>
          <w:numId w:val="2"/>
        </w:numPr>
        <w:tabs>
          <w:tab w:val="clear" w:pos="1134"/>
          <w:tab w:val="left" w:pos="707" w:leader="none"/>
        </w:tabs>
        <w:bidi w:val="0"/>
        <w:spacing w:before="0" w:after="0"/>
        <w:ind w:start="707" w:hanging="283"/>
        <w:jc w:val="start"/>
        <w:rPr/>
      </w:pPr>
      <w:r>
        <w:rPr/>
        <w:t xml:space="preserve">Kurtz JM, Gelber R, Brady LW, Carella RJ, Cooper JS. The palliation of brain metastases in a favorable patient population: A randomized clinical trial by the Radiation Therapy Oncology Group. Int J Radiat Oncol Biol Phys 1981; 7: 891-5. </w:t>
      </w:r>
    </w:p>
    <w:p>
      <w:pPr>
        <w:pStyle w:val="TextBody"/>
        <w:numPr>
          <w:ilvl w:val="0"/>
          <w:numId w:val="2"/>
        </w:numPr>
        <w:tabs>
          <w:tab w:val="clear" w:pos="1134"/>
          <w:tab w:val="left" w:pos="707" w:leader="none"/>
        </w:tabs>
        <w:bidi w:val="0"/>
        <w:spacing w:before="0" w:after="0"/>
        <w:ind w:start="707" w:hanging="283"/>
        <w:jc w:val="start"/>
        <w:rPr/>
      </w:pPr>
      <w:r>
        <w:rPr/>
        <w:t xml:space="preserve">Berk L. An overview of radiotherapy trials for the treatment of brain metastases. Oncology (Huntingt) 1995; 9: 1205-12. </w:t>
      </w:r>
    </w:p>
    <w:p>
      <w:pPr>
        <w:pStyle w:val="TextBody"/>
        <w:numPr>
          <w:ilvl w:val="0"/>
          <w:numId w:val="2"/>
        </w:numPr>
        <w:tabs>
          <w:tab w:val="clear" w:pos="1134"/>
          <w:tab w:val="left" w:pos="707" w:leader="none"/>
        </w:tabs>
        <w:bidi w:val="0"/>
        <w:spacing w:before="0" w:after="0"/>
        <w:ind w:start="707" w:hanging="283"/>
        <w:jc w:val="start"/>
        <w:rPr/>
      </w:pPr>
      <w:r>
        <w:rPr/>
        <w:t xml:space="preserve">Lang FF, Sawaya R. Surgical treatment of metastatic brain tumors. Semin Surg Oncol 1998; 14: 53-63 </w:t>
      </w:r>
    </w:p>
    <w:p>
      <w:pPr>
        <w:pStyle w:val="TextBody"/>
        <w:numPr>
          <w:ilvl w:val="0"/>
          <w:numId w:val="2"/>
        </w:numPr>
        <w:tabs>
          <w:tab w:val="clear" w:pos="1134"/>
          <w:tab w:val="left" w:pos="707" w:leader="none"/>
        </w:tabs>
        <w:bidi w:val="0"/>
        <w:spacing w:before="0" w:after="0"/>
        <w:ind w:start="707" w:hanging="283"/>
        <w:jc w:val="start"/>
        <w:rPr/>
      </w:pPr>
      <w:r>
        <w:rPr/>
        <w:t xml:space="preserve">Patchell RA, Tibbs PA, Regine WF, Dempsey RJ, Mohiuddin M, Kryscio RJ, et al. Postoperative radiotherapy in the treatment of single brain metastases to the brain. JAMA 1998; 280: 1485-9. </w:t>
      </w:r>
    </w:p>
    <w:p>
      <w:pPr>
        <w:pStyle w:val="TextBody"/>
        <w:numPr>
          <w:ilvl w:val="0"/>
          <w:numId w:val="2"/>
        </w:numPr>
        <w:tabs>
          <w:tab w:val="clear" w:pos="1134"/>
          <w:tab w:val="left" w:pos="707" w:leader="none"/>
        </w:tabs>
        <w:bidi w:val="0"/>
        <w:spacing w:before="0" w:after="0"/>
        <w:ind w:start="707" w:hanging="283"/>
        <w:jc w:val="start"/>
        <w:rPr/>
      </w:pPr>
      <w:r>
        <w:rPr/>
        <w:t xml:space="preserve">Schellinger PD, Meinck HM, Thron A. Diagnostic accuracy of MRI compared to CT in patients with brain metastases. J Neurooncol 1999; 44: 275-81. </w:t>
      </w:r>
    </w:p>
    <w:p>
      <w:pPr>
        <w:pStyle w:val="TextBody"/>
        <w:numPr>
          <w:ilvl w:val="0"/>
          <w:numId w:val="2"/>
        </w:numPr>
        <w:tabs>
          <w:tab w:val="clear" w:pos="1134"/>
          <w:tab w:val="left" w:pos="707" w:leader="none"/>
        </w:tabs>
        <w:bidi w:val="0"/>
        <w:spacing w:before="0" w:after="0"/>
        <w:ind w:start="707" w:hanging="283"/>
        <w:jc w:val="start"/>
        <w:rPr/>
      </w:pPr>
      <w:r>
        <w:rPr/>
        <w:t xml:space="preserve">Gaspar LE, Scott C, Murray K, Curran W. Validation of the RTOG Recursive Partitioning Analysis (RPA) classification for brain metastases. Int J Radiat Oncol Biol Phys 2000; 47: 1001-6. </w:t>
      </w:r>
    </w:p>
    <w:p>
      <w:pPr>
        <w:pStyle w:val="TextBody"/>
        <w:numPr>
          <w:ilvl w:val="0"/>
          <w:numId w:val="2"/>
        </w:numPr>
        <w:tabs>
          <w:tab w:val="clear" w:pos="1134"/>
          <w:tab w:val="left" w:pos="707" w:leader="none"/>
        </w:tabs>
        <w:bidi w:val="0"/>
        <w:spacing w:before="0" w:after="0"/>
        <w:ind w:start="707" w:hanging="283"/>
        <w:jc w:val="start"/>
        <w:rPr/>
      </w:pPr>
      <w:r>
        <w:rPr/>
        <w:t xml:space="preserve">Lutterbach J, Bartelt S, Ostertag C. Long-term survival in patients with brain metastases. J Cancer Res Clin Oncol 2002; 128: 417-25. </w:t>
      </w:r>
    </w:p>
    <w:p>
      <w:pPr>
        <w:pStyle w:val="TextBody"/>
        <w:numPr>
          <w:ilvl w:val="0"/>
          <w:numId w:val="2"/>
        </w:numPr>
        <w:tabs>
          <w:tab w:val="clear" w:pos="1134"/>
          <w:tab w:val="left" w:pos="707" w:leader="none"/>
        </w:tabs>
        <w:bidi w:val="0"/>
        <w:spacing w:before="0" w:after="0"/>
        <w:ind w:start="707" w:hanging="283"/>
        <w:jc w:val="start"/>
        <w:rPr/>
      </w:pPr>
      <w:r>
        <w:rPr/>
        <w:t xml:space="preserve">Breneman JC, Warnick RE, Albright RE Jr, Kukiatinant N, Shaw J, Armin D, et al. Stereotactic radiosurgery for the treatment of brain metastases. Results of a single institution series. Cancer 1997; 79: 551-7. </w:t>
      </w:r>
    </w:p>
    <w:p>
      <w:pPr>
        <w:pStyle w:val="TextBody"/>
        <w:numPr>
          <w:ilvl w:val="0"/>
          <w:numId w:val="2"/>
        </w:numPr>
        <w:tabs>
          <w:tab w:val="clear" w:pos="1134"/>
          <w:tab w:val="left" w:pos="707" w:leader="none"/>
        </w:tabs>
        <w:bidi w:val="0"/>
        <w:spacing w:before="0" w:after="0"/>
        <w:ind w:start="707" w:hanging="283"/>
        <w:jc w:val="start"/>
        <w:rPr/>
      </w:pPr>
      <w:r>
        <w:rPr/>
        <w:t xml:space="preserve">Kondziolka D, Patel A, Lunsford LD, Kassam A, Flickinger JC. Stereotactic radiosurgery plus whole brain radiotherapy versus radiotherapy alone for patients with multiple brain metastases. Int J Radiat Oncol Biol Phys 1999; 45: 427-34. </w:t>
      </w:r>
    </w:p>
    <w:p>
      <w:pPr>
        <w:pStyle w:val="TextBody"/>
        <w:numPr>
          <w:ilvl w:val="0"/>
          <w:numId w:val="2"/>
        </w:numPr>
        <w:tabs>
          <w:tab w:val="clear" w:pos="1134"/>
          <w:tab w:val="left" w:pos="707" w:leader="none"/>
        </w:tabs>
        <w:bidi w:val="0"/>
        <w:spacing w:before="0" w:after="0"/>
        <w:ind w:start="707" w:hanging="283"/>
        <w:jc w:val="start"/>
        <w:rPr/>
      </w:pPr>
      <w:r>
        <w:rPr/>
        <w:t xml:space="preserve">Pease NJ, Edwards A, Moss LJ. Effectiveness of whole brain radiotherapy in the treatment of brain metastases: A systematic review. Palliat Med 2005; 19: 288-99. </w:t>
      </w:r>
    </w:p>
    <w:p>
      <w:pPr>
        <w:pStyle w:val="TextBody"/>
        <w:numPr>
          <w:ilvl w:val="0"/>
          <w:numId w:val="2"/>
        </w:numPr>
        <w:tabs>
          <w:tab w:val="clear" w:pos="1134"/>
          <w:tab w:val="left" w:pos="707" w:leader="none"/>
        </w:tabs>
        <w:bidi w:val="0"/>
        <w:ind w:start="707" w:hanging="283"/>
        <w:jc w:val="start"/>
        <w:rPr/>
      </w:pPr>
      <w:r>
        <w:rPr/>
        <w:t xml:space="preserve">Lagerwaard FJ, Levendag PC. Prognostic factors in patients with brain metastases. Forum (Genova) 2001; 11: 27-46 </w:t>
      </w:r>
    </w:p>
    <w:p>
      <w:pPr>
        <w:pStyle w:val="TextBody"/>
        <w:bidi w:val="0"/>
        <w:jc w:val="start"/>
        <w:rPr/>
      </w:pPr>
      <w:r>
        <w:rPr/>
        <w:t xml:space="preserve">Table 1: Characteristics of patients and treatment </w:t>
      </w:r>
    </w:p>
    <w:tbl>
      <w:tblPr>
        <w:tblW w:w="5148" w:type="dxa"/>
        <w:jc w:val="start"/>
        <w:tblInd w:w="0" w:type="dxa"/>
        <w:tblLayout w:type="fixed"/>
        <w:tblCellMar>
          <w:top w:w="28" w:type="dxa"/>
          <w:start w:w="28" w:type="dxa"/>
          <w:bottom w:w="28" w:type="dxa"/>
          <w:end w:w="28" w:type="dxa"/>
        </w:tblCellMar>
      </w:tblPr>
      <w:tblGrid>
        <w:gridCol w:w="2956"/>
        <w:gridCol w:w="946"/>
        <w:gridCol w:w="1246"/>
      </w:tblGrid>
      <w:tr>
        <w:trPr/>
        <w:tc>
          <w:tcPr>
            <w:tcW w:w="2956" w:type="dxa"/>
            <w:tcBorders/>
            <w:vAlign w:val="center"/>
          </w:tcPr>
          <w:p>
            <w:pPr>
              <w:pStyle w:val="TableContents"/>
              <w:bidi w:val="0"/>
              <w:spacing w:before="0" w:after="283"/>
              <w:jc w:val="start"/>
              <w:rPr/>
            </w:pPr>
            <w:r>
              <w:rPr/>
              <w:t xml:space="preserve">Variables </w:t>
            </w:r>
          </w:p>
        </w:tc>
        <w:tc>
          <w:tcPr>
            <w:tcW w:w="946" w:type="dxa"/>
            <w:tcBorders/>
            <w:vAlign w:val="center"/>
          </w:tcPr>
          <w:p>
            <w:pPr>
              <w:pStyle w:val="TableContents"/>
              <w:bidi w:val="0"/>
              <w:spacing w:before="0" w:after="283"/>
              <w:jc w:val="start"/>
              <w:rPr/>
            </w:pPr>
            <w:r>
              <w:rPr/>
              <w:t xml:space="preserve">Number </w:t>
            </w:r>
          </w:p>
        </w:tc>
        <w:tc>
          <w:tcPr>
            <w:tcW w:w="1246" w:type="dxa"/>
            <w:tcBorders/>
            <w:vAlign w:val="center"/>
          </w:tcPr>
          <w:p>
            <w:pPr>
              <w:pStyle w:val="TableContents"/>
              <w:bidi w:val="0"/>
              <w:spacing w:before="0" w:after="283"/>
              <w:jc w:val="start"/>
              <w:rPr/>
            </w:pPr>
            <w:r>
              <w:rPr/>
              <w:t xml:space="preserve">Percentage </w:t>
            </w:r>
          </w:p>
        </w:tc>
      </w:tr>
      <w:tr>
        <w:trPr/>
        <w:tc>
          <w:tcPr>
            <w:tcW w:w="2956" w:type="dxa"/>
            <w:tcBorders/>
            <w:vAlign w:val="center"/>
          </w:tcPr>
          <w:p>
            <w:pPr>
              <w:pStyle w:val="TableContents"/>
              <w:bidi w:val="0"/>
              <w:spacing w:before="0" w:after="283"/>
              <w:jc w:val="start"/>
              <w:rPr/>
            </w:pPr>
            <w:r>
              <w:rPr/>
              <w:t xml:space="preserve">Total patients </w:t>
            </w:r>
          </w:p>
        </w:tc>
        <w:tc>
          <w:tcPr>
            <w:tcW w:w="946" w:type="dxa"/>
            <w:tcBorders/>
            <w:vAlign w:val="center"/>
          </w:tcPr>
          <w:p>
            <w:pPr>
              <w:pStyle w:val="TableContents"/>
              <w:bidi w:val="0"/>
              <w:spacing w:before="0" w:after="283"/>
              <w:jc w:val="start"/>
              <w:rPr/>
            </w:pPr>
            <w:r>
              <w:rPr/>
              <w:t xml:space="preserve">186 </w:t>
            </w:r>
          </w:p>
        </w:tc>
        <w:tc>
          <w:tcPr>
            <w:tcW w:w="1246" w:type="dxa"/>
            <w:tcBorders/>
            <w:vAlign w:val="center"/>
          </w:tcPr>
          <w:p>
            <w:pPr>
              <w:pStyle w:val="TableContents"/>
              <w:bidi w:val="0"/>
              <w:spacing w:before="0" w:after="283"/>
              <w:jc w:val="start"/>
              <w:rPr/>
            </w:pPr>
            <w:r>
              <w:rPr/>
              <w:t xml:space="preserve">100 </w:t>
            </w:r>
          </w:p>
        </w:tc>
      </w:tr>
      <w:tr>
        <w:trPr/>
        <w:tc>
          <w:tcPr>
            <w:tcW w:w="2956" w:type="dxa"/>
            <w:tcBorders/>
            <w:vAlign w:val="center"/>
          </w:tcPr>
          <w:p>
            <w:pPr>
              <w:pStyle w:val="TableContents"/>
              <w:bidi w:val="0"/>
              <w:spacing w:before="0" w:after="283"/>
              <w:jc w:val="start"/>
              <w:rPr/>
            </w:pPr>
            <w:r>
              <w:rPr/>
              <w:t xml:space="preserve">Sex </w:t>
            </w:r>
          </w:p>
        </w:tc>
        <w:tc>
          <w:tcPr>
            <w:tcW w:w="2192" w:type="dxa"/>
            <w:gridSpan w:val="2"/>
            <w:tcBorders/>
          </w:tcPr>
          <w:p>
            <w:pPr>
              <w:pStyle w:val="TableContents"/>
              <w:bidi w:val="0"/>
              <w:spacing w:before="0" w:after="283"/>
              <w:jc w:val="start"/>
              <w:rPr>
                <w:sz w:val="4"/>
                <w:szCs w:val="4"/>
              </w:rPr>
            </w:pPr>
            <w:r>
              <w:rPr>
                <w:sz w:val="4"/>
                <w:szCs w:val="4"/>
              </w:rPr>
            </w:r>
          </w:p>
        </w:tc>
      </w:tr>
      <w:tr>
        <w:trPr/>
        <w:tc>
          <w:tcPr>
            <w:tcW w:w="2956" w:type="dxa"/>
            <w:tcBorders/>
            <w:vAlign w:val="center"/>
          </w:tcPr>
          <w:p>
            <w:pPr>
              <w:pStyle w:val="TableContents"/>
              <w:bidi w:val="0"/>
              <w:spacing w:before="0" w:after="283"/>
              <w:jc w:val="start"/>
              <w:rPr/>
            </w:pPr>
            <w:r>
              <w:rPr/>
              <w:t xml:space="preserve">Male </w:t>
            </w:r>
          </w:p>
        </w:tc>
        <w:tc>
          <w:tcPr>
            <w:tcW w:w="946" w:type="dxa"/>
            <w:tcBorders/>
            <w:vAlign w:val="center"/>
          </w:tcPr>
          <w:p>
            <w:pPr>
              <w:pStyle w:val="TableContents"/>
              <w:bidi w:val="0"/>
              <w:spacing w:before="0" w:after="283"/>
              <w:jc w:val="start"/>
              <w:rPr/>
            </w:pPr>
            <w:r>
              <w:rPr/>
              <w:t xml:space="preserve">108 </w:t>
            </w:r>
          </w:p>
        </w:tc>
        <w:tc>
          <w:tcPr>
            <w:tcW w:w="1246" w:type="dxa"/>
            <w:tcBorders/>
            <w:vAlign w:val="center"/>
          </w:tcPr>
          <w:p>
            <w:pPr>
              <w:pStyle w:val="TableContents"/>
              <w:bidi w:val="0"/>
              <w:spacing w:before="0" w:after="283"/>
              <w:jc w:val="start"/>
              <w:rPr/>
            </w:pPr>
            <w:r>
              <w:rPr/>
              <w:t xml:space="preserve">58. 06 </w:t>
            </w:r>
          </w:p>
        </w:tc>
      </w:tr>
      <w:tr>
        <w:trPr/>
        <w:tc>
          <w:tcPr>
            <w:tcW w:w="2956" w:type="dxa"/>
            <w:tcBorders/>
            <w:vAlign w:val="center"/>
          </w:tcPr>
          <w:p>
            <w:pPr>
              <w:pStyle w:val="TableContents"/>
              <w:bidi w:val="0"/>
              <w:spacing w:before="0" w:after="283"/>
              <w:jc w:val="start"/>
              <w:rPr/>
            </w:pPr>
            <w:r>
              <w:rPr/>
              <w:t xml:space="preserve">Female </w:t>
            </w:r>
          </w:p>
        </w:tc>
        <w:tc>
          <w:tcPr>
            <w:tcW w:w="946" w:type="dxa"/>
            <w:tcBorders/>
            <w:vAlign w:val="center"/>
          </w:tcPr>
          <w:p>
            <w:pPr>
              <w:pStyle w:val="TableContents"/>
              <w:bidi w:val="0"/>
              <w:spacing w:before="0" w:after="283"/>
              <w:jc w:val="start"/>
              <w:rPr/>
            </w:pPr>
            <w:r>
              <w:rPr/>
              <w:t xml:space="preserve">78 </w:t>
            </w:r>
          </w:p>
        </w:tc>
        <w:tc>
          <w:tcPr>
            <w:tcW w:w="1246" w:type="dxa"/>
            <w:tcBorders/>
            <w:vAlign w:val="center"/>
          </w:tcPr>
          <w:p>
            <w:pPr>
              <w:pStyle w:val="TableContents"/>
              <w:bidi w:val="0"/>
              <w:spacing w:before="0" w:after="283"/>
              <w:jc w:val="start"/>
              <w:rPr/>
            </w:pPr>
            <w:r>
              <w:rPr/>
              <w:t xml:space="preserve">41. 94 </w:t>
            </w:r>
          </w:p>
        </w:tc>
      </w:tr>
      <w:tr>
        <w:trPr/>
        <w:tc>
          <w:tcPr>
            <w:tcW w:w="2956" w:type="dxa"/>
            <w:tcBorders/>
            <w:vAlign w:val="center"/>
          </w:tcPr>
          <w:p>
            <w:pPr>
              <w:pStyle w:val="TableContents"/>
              <w:bidi w:val="0"/>
              <w:spacing w:before="0" w:after="283"/>
              <w:jc w:val="start"/>
              <w:rPr/>
            </w:pPr>
            <w:r>
              <w:rPr/>
              <w:t xml:space="preserve">Age </w:t>
            </w:r>
          </w:p>
        </w:tc>
        <w:tc>
          <w:tcPr>
            <w:tcW w:w="2192" w:type="dxa"/>
            <w:gridSpan w:val="2"/>
            <w:tcBorders/>
          </w:tcPr>
          <w:p>
            <w:pPr>
              <w:pStyle w:val="TableContents"/>
              <w:bidi w:val="0"/>
              <w:spacing w:before="0" w:after="283"/>
              <w:jc w:val="start"/>
              <w:rPr>
                <w:sz w:val="4"/>
                <w:szCs w:val="4"/>
              </w:rPr>
            </w:pPr>
            <w:r>
              <w:rPr>
                <w:sz w:val="4"/>
                <w:szCs w:val="4"/>
              </w:rPr>
            </w:r>
          </w:p>
        </w:tc>
      </w:tr>
      <w:tr>
        <w:trPr/>
        <w:tc>
          <w:tcPr>
            <w:tcW w:w="2956" w:type="dxa"/>
            <w:tcBorders/>
            <w:vAlign w:val="center"/>
          </w:tcPr>
          <w:p>
            <w:pPr>
              <w:pStyle w:val="TableContents"/>
              <w:bidi w:val="0"/>
              <w:spacing w:before="0" w:after="283"/>
              <w:jc w:val="start"/>
              <w:rPr/>
            </w:pPr>
            <w:r>
              <w:rPr/>
              <w:t xml:space="preserve">&lt;65 years </w:t>
            </w:r>
          </w:p>
        </w:tc>
        <w:tc>
          <w:tcPr>
            <w:tcW w:w="946" w:type="dxa"/>
            <w:tcBorders/>
            <w:vAlign w:val="center"/>
          </w:tcPr>
          <w:p>
            <w:pPr>
              <w:pStyle w:val="TableContents"/>
              <w:bidi w:val="0"/>
              <w:spacing w:before="0" w:after="283"/>
              <w:jc w:val="start"/>
              <w:rPr/>
            </w:pPr>
            <w:r>
              <w:rPr/>
              <w:t xml:space="preserve">145 </w:t>
            </w:r>
          </w:p>
        </w:tc>
        <w:tc>
          <w:tcPr>
            <w:tcW w:w="1246" w:type="dxa"/>
            <w:tcBorders/>
            <w:vAlign w:val="center"/>
          </w:tcPr>
          <w:p>
            <w:pPr>
              <w:pStyle w:val="TableContents"/>
              <w:bidi w:val="0"/>
              <w:spacing w:before="0" w:after="283"/>
              <w:jc w:val="start"/>
              <w:rPr/>
            </w:pPr>
            <w:r>
              <w:rPr/>
              <w:t xml:space="preserve">77. 95 </w:t>
            </w:r>
          </w:p>
        </w:tc>
      </w:tr>
      <w:tr>
        <w:trPr/>
        <w:tc>
          <w:tcPr>
            <w:tcW w:w="2956" w:type="dxa"/>
            <w:tcBorders/>
            <w:vAlign w:val="center"/>
          </w:tcPr>
          <w:p>
            <w:pPr>
              <w:pStyle w:val="TableContents"/>
              <w:bidi w:val="0"/>
              <w:spacing w:before="0" w:after="283"/>
              <w:jc w:val="start"/>
              <w:rPr/>
            </w:pPr>
            <w:r>
              <w:rPr/>
              <w:t xml:space="preserve">&gt; 65 years </w:t>
            </w:r>
          </w:p>
        </w:tc>
        <w:tc>
          <w:tcPr>
            <w:tcW w:w="946" w:type="dxa"/>
            <w:tcBorders/>
            <w:vAlign w:val="center"/>
          </w:tcPr>
          <w:p>
            <w:pPr>
              <w:pStyle w:val="TableContents"/>
              <w:bidi w:val="0"/>
              <w:spacing w:before="0" w:after="283"/>
              <w:jc w:val="start"/>
              <w:rPr/>
            </w:pPr>
            <w:r>
              <w:rPr/>
              <w:t xml:space="preserve">41 </w:t>
            </w:r>
          </w:p>
        </w:tc>
        <w:tc>
          <w:tcPr>
            <w:tcW w:w="1246" w:type="dxa"/>
            <w:tcBorders/>
            <w:vAlign w:val="center"/>
          </w:tcPr>
          <w:p>
            <w:pPr>
              <w:pStyle w:val="TableContents"/>
              <w:bidi w:val="0"/>
              <w:spacing w:before="0" w:after="283"/>
              <w:jc w:val="start"/>
              <w:rPr/>
            </w:pPr>
            <w:r>
              <w:rPr/>
              <w:t xml:space="preserve">22. 05 </w:t>
            </w:r>
          </w:p>
        </w:tc>
      </w:tr>
      <w:tr>
        <w:trPr/>
        <w:tc>
          <w:tcPr>
            <w:tcW w:w="2956" w:type="dxa"/>
            <w:tcBorders/>
            <w:vAlign w:val="center"/>
          </w:tcPr>
          <w:p>
            <w:pPr>
              <w:pStyle w:val="TableContents"/>
              <w:bidi w:val="0"/>
              <w:spacing w:before="0" w:after="283"/>
              <w:jc w:val="start"/>
              <w:rPr/>
            </w:pPr>
            <w:r>
              <w:rPr/>
              <w:t xml:space="preserve">ECOG Performance Status </w:t>
            </w:r>
          </w:p>
        </w:tc>
        <w:tc>
          <w:tcPr>
            <w:tcW w:w="2192" w:type="dxa"/>
            <w:gridSpan w:val="2"/>
            <w:tcBorders/>
          </w:tcPr>
          <w:p>
            <w:pPr>
              <w:pStyle w:val="TableContents"/>
              <w:bidi w:val="0"/>
              <w:spacing w:before="0" w:after="283"/>
              <w:jc w:val="start"/>
              <w:rPr>
                <w:sz w:val="4"/>
                <w:szCs w:val="4"/>
              </w:rPr>
            </w:pPr>
            <w:r>
              <w:rPr>
                <w:sz w:val="4"/>
                <w:szCs w:val="4"/>
              </w:rPr>
            </w:r>
          </w:p>
        </w:tc>
      </w:tr>
      <w:tr>
        <w:trPr/>
        <w:tc>
          <w:tcPr>
            <w:tcW w:w="2956" w:type="dxa"/>
            <w:tcBorders/>
            <w:vAlign w:val="center"/>
          </w:tcPr>
          <w:p>
            <w:pPr>
              <w:pStyle w:val="TableContents"/>
              <w:bidi w:val="0"/>
              <w:spacing w:before="0" w:after="283"/>
              <w:jc w:val="start"/>
              <w:rPr/>
            </w:pPr>
            <w:r>
              <w:rPr/>
              <w:t xml:space="preserve">1-2 </w:t>
            </w:r>
          </w:p>
        </w:tc>
        <w:tc>
          <w:tcPr>
            <w:tcW w:w="946" w:type="dxa"/>
            <w:tcBorders/>
            <w:vAlign w:val="center"/>
          </w:tcPr>
          <w:p>
            <w:pPr>
              <w:pStyle w:val="TableContents"/>
              <w:bidi w:val="0"/>
              <w:spacing w:before="0" w:after="283"/>
              <w:jc w:val="start"/>
              <w:rPr/>
            </w:pPr>
            <w:r>
              <w:rPr/>
              <w:t xml:space="preserve">135 </w:t>
            </w:r>
          </w:p>
        </w:tc>
        <w:tc>
          <w:tcPr>
            <w:tcW w:w="1246" w:type="dxa"/>
            <w:tcBorders/>
            <w:vAlign w:val="center"/>
          </w:tcPr>
          <w:p>
            <w:pPr>
              <w:pStyle w:val="TableContents"/>
              <w:bidi w:val="0"/>
              <w:spacing w:before="0" w:after="283"/>
              <w:jc w:val="start"/>
              <w:rPr/>
            </w:pPr>
            <w:r>
              <w:rPr/>
              <w:t xml:space="preserve">72. 58 </w:t>
            </w:r>
          </w:p>
        </w:tc>
      </w:tr>
      <w:tr>
        <w:trPr/>
        <w:tc>
          <w:tcPr>
            <w:tcW w:w="2956" w:type="dxa"/>
            <w:tcBorders/>
            <w:vAlign w:val="center"/>
          </w:tcPr>
          <w:p>
            <w:pPr>
              <w:pStyle w:val="TableContents"/>
              <w:bidi w:val="0"/>
              <w:spacing w:before="0" w:after="283"/>
              <w:jc w:val="start"/>
              <w:rPr/>
            </w:pPr>
            <w:r>
              <w:rPr/>
              <w:t xml:space="preserve">3-4 </w:t>
            </w:r>
          </w:p>
        </w:tc>
        <w:tc>
          <w:tcPr>
            <w:tcW w:w="946" w:type="dxa"/>
            <w:tcBorders/>
            <w:vAlign w:val="center"/>
          </w:tcPr>
          <w:p>
            <w:pPr>
              <w:pStyle w:val="TableContents"/>
              <w:bidi w:val="0"/>
              <w:spacing w:before="0" w:after="283"/>
              <w:jc w:val="start"/>
              <w:rPr/>
            </w:pPr>
            <w:r>
              <w:rPr/>
              <w:t xml:space="preserve">51 </w:t>
            </w:r>
          </w:p>
        </w:tc>
        <w:tc>
          <w:tcPr>
            <w:tcW w:w="1246" w:type="dxa"/>
            <w:tcBorders/>
            <w:vAlign w:val="center"/>
          </w:tcPr>
          <w:p>
            <w:pPr>
              <w:pStyle w:val="TableContents"/>
              <w:bidi w:val="0"/>
              <w:spacing w:before="0" w:after="283"/>
              <w:jc w:val="start"/>
              <w:rPr/>
            </w:pPr>
            <w:r>
              <w:rPr/>
              <w:t xml:space="preserve">27. 42 </w:t>
            </w:r>
          </w:p>
        </w:tc>
      </w:tr>
      <w:tr>
        <w:trPr/>
        <w:tc>
          <w:tcPr>
            <w:tcW w:w="2956" w:type="dxa"/>
            <w:tcBorders/>
            <w:vAlign w:val="center"/>
          </w:tcPr>
          <w:p>
            <w:pPr>
              <w:pStyle w:val="TableContents"/>
              <w:bidi w:val="0"/>
              <w:spacing w:before="0" w:after="283"/>
              <w:jc w:val="start"/>
              <w:rPr/>
            </w:pPr>
            <w:r>
              <w:rPr/>
              <w:t xml:space="preserve">Number of lesion </w:t>
            </w:r>
          </w:p>
        </w:tc>
        <w:tc>
          <w:tcPr>
            <w:tcW w:w="2192" w:type="dxa"/>
            <w:gridSpan w:val="2"/>
            <w:tcBorders/>
          </w:tcPr>
          <w:p>
            <w:pPr>
              <w:pStyle w:val="TableContents"/>
              <w:bidi w:val="0"/>
              <w:spacing w:before="0" w:after="283"/>
              <w:jc w:val="start"/>
              <w:rPr>
                <w:sz w:val="4"/>
                <w:szCs w:val="4"/>
              </w:rPr>
            </w:pPr>
            <w:r>
              <w:rPr>
                <w:sz w:val="4"/>
                <w:szCs w:val="4"/>
              </w:rPr>
            </w:r>
          </w:p>
        </w:tc>
      </w:tr>
      <w:tr>
        <w:trPr/>
        <w:tc>
          <w:tcPr>
            <w:tcW w:w="2956" w:type="dxa"/>
            <w:tcBorders/>
            <w:vAlign w:val="center"/>
          </w:tcPr>
          <w:p>
            <w:pPr>
              <w:pStyle w:val="TableContents"/>
              <w:bidi w:val="0"/>
              <w:spacing w:before="0" w:after="283"/>
              <w:jc w:val="start"/>
              <w:rPr/>
            </w:pPr>
            <w:r>
              <w:rPr/>
              <w:t xml:space="preserve">Single </w:t>
            </w:r>
          </w:p>
        </w:tc>
        <w:tc>
          <w:tcPr>
            <w:tcW w:w="946" w:type="dxa"/>
            <w:tcBorders/>
            <w:vAlign w:val="center"/>
          </w:tcPr>
          <w:p>
            <w:pPr>
              <w:pStyle w:val="TableContents"/>
              <w:bidi w:val="0"/>
              <w:spacing w:before="0" w:after="283"/>
              <w:jc w:val="start"/>
              <w:rPr/>
            </w:pPr>
            <w:r>
              <w:rPr/>
              <w:t xml:space="preserve">35 </w:t>
            </w:r>
          </w:p>
        </w:tc>
        <w:tc>
          <w:tcPr>
            <w:tcW w:w="1246" w:type="dxa"/>
            <w:tcBorders/>
            <w:vAlign w:val="center"/>
          </w:tcPr>
          <w:p>
            <w:pPr>
              <w:pStyle w:val="TableContents"/>
              <w:bidi w:val="0"/>
              <w:spacing w:before="0" w:after="283"/>
              <w:jc w:val="start"/>
              <w:rPr/>
            </w:pPr>
            <w:r>
              <w:rPr/>
              <w:t xml:space="preserve">18. 82 </w:t>
            </w:r>
          </w:p>
        </w:tc>
      </w:tr>
      <w:tr>
        <w:trPr/>
        <w:tc>
          <w:tcPr>
            <w:tcW w:w="2956" w:type="dxa"/>
            <w:tcBorders/>
            <w:vAlign w:val="center"/>
          </w:tcPr>
          <w:p>
            <w:pPr>
              <w:pStyle w:val="TableContents"/>
              <w:bidi w:val="0"/>
              <w:spacing w:before="0" w:after="283"/>
              <w:jc w:val="start"/>
              <w:rPr/>
            </w:pPr>
            <w:r>
              <w:rPr/>
              <w:t xml:space="preserve">Multiple </w:t>
            </w:r>
          </w:p>
        </w:tc>
        <w:tc>
          <w:tcPr>
            <w:tcW w:w="946" w:type="dxa"/>
            <w:tcBorders/>
            <w:vAlign w:val="center"/>
          </w:tcPr>
          <w:p>
            <w:pPr>
              <w:pStyle w:val="TableContents"/>
              <w:bidi w:val="0"/>
              <w:spacing w:before="0" w:after="283"/>
              <w:jc w:val="start"/>
              <w:rPr/>
            </w:pPr>
            <w:r>
              <w:rPr/>
              <w:t xml:space="preserve">151 </w:t>
            </w:r>
          </w:p>
        </w:tc>
        <w:tc>
          <w:tcPr>
            <w:tcW w:w="1246" w:type="dxa"/>
            <w:tcBorders/>
            <w:vAlign w:val="center"/>
          </w:tcPr>
          <w:p>
            <w:pPr>
              <w:pStyle w:val="TableContents"/>
              <w:bidi w:val="0"/>
              <w:spacing w:before="0" w:after="283"/>
              <w:jc w:val="start"/>
              <w:rPr/>
            </w:pPr>
            <w:r>
              <w:rPr/>
              <w:t xml:space="preserve">81. 18 </w:t>
            </w:r>
          </w:p>
        </w:tc>
      </w:tr>
      <w:tr>
        <w:trPr/>
        <w:tc>
          <w:tcPr>
            <w:tcW w:w="2956" w:type="dxa"/>
            <w:tcBorders/>
            <w:vAlign w:val="center"/>
          </w:tcPr>
          <w:p>
            <w:pPr>
              <w:pStyle w:val="TableContents"/>
              <w:bidi w:val="0"/>
              <w:spacing w:before="0" w:after="283"/>
              <w:jc w:val="start"/>
              <w:rPr/>
            </w:pPr>
            <w:r>
              <w:rPr/>
              <w:t xml:space="preserve">Primary tumor </w:t>
            </w:r>
          </w:p>
        </w:tc>
        <w:tc>
          <w:tcPr>
            <w:tcW w:w="2192" w:type="dxa"/>
            <w:gridSpan w:val="2"/>
            <w:tcBorders/>
          </w:tcPr>
          <w:p>
            <w:pPr>
              <w:pStyle w:val="TableContents"/>
              <w:bidi w:val="0"/>
              <w:spacing w:before="0" w:after="283"/>
              <w:jc w:val="start"/>
              <w:rPr>
                <w:sz w:val="4"/>
                <w:szCs w:val="4"/>
              </w:rPr>
            </w:pPr>
            <w:r>
              <w:rPr>
                <w:sz w:val="4"/>
                <w:szCs w:val="4"/>
              </w:rPr>
            </w:r>
          </w:p>
        </w:tc>
      </w:tr>
      <w:tr>
        <w:trPr/>
        <w:tc>
          <w:tcPr>
            <w:tcW w:w="2956" w:type="dxa"/>
            <w:tcBorders/>
            <w:vAlign w:val="center"/>
          </w:tcPr>
          <w:p>
            <w:pPr>
              <w:pStyle w:val="TableContents"/>
              <w:bidi w:val="0"/>
              <w:spacing w:before="0" w:after="283"/>
              <w:jc w:val="start"/>
              <w:rPr/>
            </w:pPr>
            <w:r>
              <w:rPr/>
              <w:t xml:space="preserve">Controlled </w:t>
            </w:r>
          </w:p>
        </w:tc>
        <w:tc>
          <w:tcPr>
            <w:tcW w:w="946" w:type="dxa"/>
            <w:tcBorders/>
            <w:vAlign w:val="center"/>
          </w:tcPr>
          <w:p>
            <w:pPr>
              <w:pStyle w:val="TableContents"/>
              <w:bidi w:val="0"/>
              <w:spacing w:before="0" w:after="283"/>
              <w:jc w:val="start"/>
              <w:rPr/>
            </w:pPr>
            <w:r>
              <w:rPr/>
              <w:t xml:space="preserve">73 </w:t>
            </w:r>
          </w:p>
        </w:tc>
        <w:tc>
          <w:tcPr>
            <w:tcW w:w="1246" w:type="dxa"/>
            <w:tcBorders/>
            <w:vAlign w:val="center"/>
          </w:tcPr>
          <w:p>
            <w:pPr>
              <w:pStyle w:val="TableContents"/>
              <w:bidi w:val="0"/>
              <w:spacing w:before="0" w:after="283"/>
              <w:jc w:val="start"/>
              <w:rPr/>
            </w:pPr>
            <w:r>
              <w:rPr/>
              <w:t xml:space="preserve">39. 25 </w:t>
            </w:r>
          </w:p>
        </w:tc>
      </w:tr>
      <w:tr>
        <w:trPr/>
        <w:tc>
          <w:tcPr>
            <w:tcW w:w="2956" w:type="dxa"/>
            <w:tcBorders/>
            <w:vAlign w:val="center"/>
          </w:tcPr>
          <w:p>
            <w:pPr>
              <w:pStyle w:val="TableContents"/>
              <w:bidi w:val="0"/>
              <w:spacing w:before="0" w:after="283"/>
              <w:jc w:val="start"/>
              <w:rPr/>
            </w:pPr>
            <w:r>
              <w:rPr/>
              <w:t xml:space="preserve">Uncontrolled </w:t>
            </w:r>
          </w:p>
        </w:tc>
        <w:tc>
          <w:tcPr>
            <w:tcW w:w="946" w:type="dxa"/>
            <w:tcBorders/>
            <w:vAlign w:val="center"/>
          </w:tcPr>
          <w:p>
            <w:pPr>
              <w:pStyle w:val="TableContents"/>
              <w:bidi w:val="0"/>
              <w:spacing w:before="0" w:after="283"/>
              <w:jc w:val="start"/>
              <w:rPr/>
            </w:pPr>
            <w:r>
              <w:rPr/>
              <w:t xml:space="preserve">113 </w:t>
            </w:r>
          </w:p>
        </w:tc>
        <w:tc>
          <w:tcPr>
            <w:tcW w:w="1246" w:type="dxa"/>
            <w:tcBorders/>
            <w:vAlign w:val="center"/>
          </w:tcPr>
          <w:p>
            <w:pPr>
              <w:pStyle w:val="TableContents"/>
              <w:bidi w:val="0"/>
              <w:spacing w:before="0" w:after="283"/>
              <w:jc w:val="start"/>
              <w:rPr/>
            </w:pPr>
            <w:r>
              <w:rPr/>
              <w:t xml:space="preserve">60. 75 </w:t>
            </w:r>
          </w:p>
        </w:tc>
      </w:tr>
      <w:tr>
        <w:trPr/>
        <w:tc>
          <w:tcPr>
            <w:tcW w:w="2956" w:type="dxa"/>
            <w:tcBorders/>
            <w:vAlign w:val="center"/>
          </w:tcPr>
          <w:p>
            <w:pPr>
              <w:pStyle w:val="TableContents"/>
              <w:bidi w:val="0"/>
              <w:spacing w:before="0" w:after="283"/>
              <w:jc w:val="start"/>
              <w:rPr/>
            </w:pPr>
            <w:r>
              <w:rPr/>
              <w:t xml:space="preserve">Extra cranial metastases </w:t>
            </w:r>
          </w:p>
        </w:tc>
        <w:tc>
          <w:tcPr>
            <w:tcW w:w="2192" w:type="dxa"/>
            <w:gridSpan w:val="2"/>
            <w:tcBorders/>
          </w:tcPr>
          <w:p>
            <w:pPr>
              <w:pStyle w:val="TableContents"/>
              <w:bidi w:val="0"/>
              <w:spacing w:before="0" w:after="283"/>
              <w:jc w:val="start"/>
              <w:rPr>
                <w:sz w:val="4"/>
                <w:szCs w:val="4"/>
              </w:rPr>
            </w:pPr>
            <w:r>
              <w:rPr>
                <w:sz w:val="4"/>
                <w:szCs w:val="4"/>
              </w:rPr>
            </w:r>
          </w:p>
        </w:tc>
      </w:tr>
      <w:tr>
        <w:trPr/>
        <w:tc>
          <w:tcPr>
            <w:tcW w:w="2956" w:type="dxa"/>
            <w:tcBorders/>
            <w:vAlign w:val="center"/>
          </w:tcPr>
          <w:p>
            <w:pPr>
              <w:pStyle w:val="TableContents"/>
              <w:bidi w:val="0"/>
              <w:spacing w:before="0" w:after="283"/>
              <w:jc w:val="start"/>
              <w:rPr/>
            </w:pPr>
            <w:r>
              <w:rPr/>
              <w:t xml:space="preserve">Yes </w:t>
            </w:r>
          </w:p>
        </w:tc>
        <w:tc>
          <w:tcPr>
            <w:tcW w:w="946" w:type="dxa"/>
            <w:tcBorders/>
            <w:vAlign w:val="center"/>
          </w:tcPr>
          <w:p>
            <w:pPr>
              <w:pStyle w:val="TableContents"/>
              <w:bidi w:val="0"/>
              <w:spacing w:before="0" w:after="283"/>
              <w:jc w:val="start"/>
              <w:rPr/>
            </w:pPr>
            <w:r>
              <w:rPr/>
              <w:t xml:space="preserve">67 </w:t>
            </w:r>
          </w:p>
        </w:tc>
        <w:tc>
          <w:tcPr>
            <w:tcW w:w="1246" w:type="dxa"/>
            <w:tcBorders/>
            <w:vAlign w:val="center"/>
          </w:tcPr>
          <w:p>
            <w:pPr>
              <w:pStyle w:val="TableContents"/>
              <w:bidi w:val="0"/>
              <w:spacing w:before="0" w:after="283"/>
              <w:jc w:val="start"/>
              <w:rPr/>
            </w:pPr>
            <w:r>
              <w:rPr/>
              <w:t xml:space="preserve">29. 56 </w:t>
            </w:r>
          </w:p>
        </w:tc>
      </w:tr>
      <w:tr>
        <w:trPr/>
        <w:tc>
          <w:tcPr>
            <w:tcW w:w="2956" w:type="dxa"/>
            <w:tcBorders/>
            <w:vAlign w:val="center"/>
          </w:tcPr>
          <w:p>
            <w:pPr>
              <w:pStyle w:val="TableContents"/>
              <w:bidi w:val="0"/>
              <w:spacing w:before="0" w:after="283"/>
              <w:jc w:val="start"/>
              <w:rPr/>
            </w:pPr>
            <w:r>
              <w:rPr/>
              <w:t xml:space="preserve">No </w:t>
            </w:r>
          </w:p>
        </w:tc>
        <w:tc>
          <w:tcPr>
            <w:tcW w:w="946" w:type="dxa"/>
            <w:tcBorders/>
            <w:vAlign w:val="center"/>
          </w:tcPr>
          <w:p>
            <w:pPr>
              <w:pStyle w:val="TableContents"/>
              <w:bidi w:val="0"/>
              <w:spacing w:before="0" w:after="283"/>
              <w:jc w:val="start"/>
              <w:rPr/>
            </w:pPr>
            <w:r>
              <w:rPr/>
              <w:t xml:space="preserve">119 </w:t>
            </w:r>
          </w:p>
        </w:tc>
        <w:tc>
          <w:tcPr>
            <w:tcW w:w="1246" w:type="dxa"/>
            <w:tcBorders/>
            <w:vAlign w:val="center"/>
          </w:tcPr>
          <w:p>
            <w:pPr>
              <w:pStyle w:val="TableContents"/>
              <w:bidi w:val="0"/>
              <w:spacing w:before="0" w:after="283"/>
              <w:jc w:val="start"/>
              <w:rPr/>
            </w:pPr>
            <w:r>
              <w:rPr/>
              <w:t xml:space="preserve">70. 44 </w:t>
            </w:r>
          </w:p>
        </w:tc>
      </w:tr>
      <w:tr>
        <w:trPr/>
        <w:tc>
          <w:tcPr>
            <w:tcW w:w="2956" w:type="dxa"/>
            <w:tcBorders/>
            <w:vAlign w:val="center"/>
          </w:tcPr>
          <w:p>
            <w:pPr>
              <w:pStyle w:val="TableContents"/>
              <w:bidi w:val="0"/>
              <w:spacing w:before="0" w:after="283"/>
              <w:jc w:val="start"/>
              <w:rPr/>
            </w:pPr>
            <w:r>
              <w:rPr/>
              <w:t xml:space="preserve">Brain metastases &amp; primary </w:t>
            </w:r>
          </w:p>
        </w:tc>
        <w:tc>
          <w:tcPr>
            <w:tcW w:w="2192" w:type="dxa"/>
            <w:gridSpan w:val="2"/>
            <w:tcBorders/>
          </w:tcPr>
          <w:p>
            <w:pPr>
              <w:pStyle w:val="TableContents"/>
              <w:bidi w:val="0"/>
              <w:spacing w:before="0" w:after="283"/>
              <w:jc w:val="start"/>
              <w:rPr>
                <w:sz w:val="4"/>
                <w:szCs w:val="4"/>
              </w:rPr>
            </w:pPr>
            <w:r>
              <w:rPr>
                <w:sz w:val="4"/>
                <w:szCs w:val="4"/>
              </w:rPr>
            </w:r>
          </w:p>
        </w:tc>
      </w:tr>
      <w:tr>
        <w:trPr/>
        <w:tc>
          <w:tcPr>
            <w:tcW w:w="2956" w:type="dxa"/>
            <w:tcBorders/>
            <w:vAlign w:val="center"/>
          </w:tcPr>
          <w:p>
            <w:pPr>
              <w:pStyle w:val="TableContents"/>
              <w:bidi w:val="0"/>
              <w:spacing w:before="0" w:after="283"/>
              <w:jc w:val="start"/>
              <w:rPr/>
            </w:pPr>
            <w:r>
              <w:rPr/>
              <w:t xml:space="preserve">Synchronous </w:t>
            </w:r>
          </w:p>
        </w:tc>
        <w:tc>
          <w:tcPr>
            <w:tcW w:w="946" w:type="dxa"/>
            <w:tcBorders/>
            <w:vAlign w:val="center"/>
          </w:tcPr>
          <w:p>
            <w:pPr>
              <w:pStyle w:val="TableContents"/>
              <w:bidi w:val="0"/>
              <w:spacing w:before="0" w:after="283"/>
              <w:jc w:val="start"/>
              <w:rPr/>
            </w:pPr>
            <w:r>
              <w:rPr/>
              <w:t xml:space="preserve">64 </w:t>
            </w:r>
          </w:p>
        </w:tc>
        <w:tc>
          <w:tcPr>
            <w:tcW w:w="1246" w:type="dxa"/>
            <w:tcBorders/>
            <w:vAlign w:val="center"/>
          </w:tcPr>
          <w:p>
            <w:pPr>
              <w:pStyle w:val="TableContents"/>
              <w:bidi w:val="0"/>
              <w:spacing w:before="0" w:after="283"/>
              <w:jc w:val="start"/>
              <w:rPr/>
            </w:pPr>
            <w:r>
              <w:rPr/>
              <w:t xml:space="preserve">34. 40 </w:t>
            </w:r>
          </w:p>
        </w:tc>
      </w:tr>
      <w:tr>
        <w:trPr/>
        <w:tc>
          <w:tcPr>
            <w:tcW w:w="2956" w:type="dxa"/>
            <w:tcBorders/>
            <w:vAlign w:val="center"/>
          </w:tcPr>
          <w:p>
            <w:pPr>
              <w:pStyle w:val="TableContents"/>
              <w:bidi w:val="0"/>
              <w:spacing w:before="0" w:after="283"/>
              <w:jc w:val="start"/>
              <w:rPr/>
            </w:pPr>
            <w:r>
              <w:rPr/>
              <w:t xml:space="preserve">Metachronous </w:t>
            </w:r>
          </w:p>
        </w:tc>
        <w:tc>
          <w:tcPr>
            <w:tcW w:w="946" w:type="dxa"/>
            <w:tcBorders/>
            <w:vAlign w:val="center"/>
          </w:tcPr>
          <w:p>
            <w:pPr>
              <w:pStyle w:val="TableContents"/>
              <w:bidi w:val="0"/>
              <w:spacing w:before="0" w:after="283"/>
              <w:jc w:val="start"/>
              <w:rPr/>
            </w:pPr>
            <w:r>
              <w:rPr/>
              <w:t xml:space="preserve">122 </w:t>
            </w:r>
          </w:p>
        </w:tc>
        <w:tc>
          <w:tcPr>
            <w:tcW w:w="1246" w:type="dxa"/>
            <w:tcBorders/>
            <w:vAlign w:val="center"/>
          </w:tcPr>
          <w:p>
            <w:pPr>
              <w:pStyle w:val="TableContents"/>
              <w:bidi w:val="0"/>
              <w:spacing w:before="0" w:after="283"/>
              <w:jc w:val="start"/>
              <w:rPr/>
            </w:pPr>
            <w:r>
              <w:rPr/>
              <w:t xml:space="preserve">65. 60 </w:t>
            </w:r>
          </w:p>
        </w:tc>
      </w:tr>
      <w:tr>
        <w:trPr/>
        <w:tc>
          <w:tcPr>
            <w:tcW w:w="2956" w:type="dxa"/>
            <w:tcBorders/>
            <w:vAlign w:val="center"/>
          </w:tcPr>
          <w:p>
            <w:pPr>
              <w:pStyle w:val="TableContents"/>
              <w:bidi w:val="0"/>
              <w:spacing w:before="0" w:after="283"/>
              <w:jc w:val="start"/>
              <w:rPr/>
            </w:pPr>
            <w:r>
              <w:rPr/>
              <w:t xml:space="preserve">Treatment of secondary brain </w:t>
            </w:r>
          </w:p>
        </w:tc>
        <w:tc>
          <w:tcPr>
            <w:tcW w:w="2192" w:type="dxa"/>
            <w:gridSpan w:val="2"/>
            <w:tcBorders/>
          </w:tcPr>
          <w:p>
            <w:pPr>
              <w:pStyle w:val="TableContents"/>
              <w:bidi w:val="0"/>
              <w:spacing w:before="0" w:after="283"/>
              <w:jc w:val="start"/>
              <w:rPr>
                <w:sz w:val="4"/>
                <w:szCs w:val="4"/>
              </w:rPr>
            </w:pPr>
            <w:r>
              <w:rPr>
                <w:sz w:val="4"/>
                <w:szCs w:val="4"/>
              </w:rPr>
            </w:r>
          </w:p>
        </w:tc>
      </w:tr>
      <w:tr>
        <w:trPr/>
        <w:tc>
          <w:tcPr>
            <w:tcW w:w="2956" w:type="dxa"/>
            <w:tcBorders/>
            <w:vAlign w:val="center"/>
          </w:tcPr>
          <w:p>
            <w:pPr>
              <w:pStyle w:val="TableContents"/>
              <w:bidi w:val="0"/>
              <w:spacing w:before="0" w:after="283"/>
              <w:jc w:val="start"/>
              <w:rPr/>
            </w:pPr>
            <w:r>
              <w:rPr/>
              <w:t xml:space="preserve">RT alone </w:t>
            </w:r>
          </w:p>
        </w:tc>
        <w:tc>
          <w:tcPr>
            <w:tcW w:w="946" w:type="dxa"/>
            <w:tcBorders/>
            <w:vAlign w:val="center"/>
          </w:tcPr>
          <w:p>
            <w:pPr>
              <w:pStyle w:val="TableContents"/>
              <w:bidi w:val="0"/>
              <w:spacing w:before="0" w:after="283"/>
              <w:jc w:val="start"/>
              <w:rPr/>
            </w:pPr>
            <w:r>
              <w:rPr/>
              <w:t xml:space="preserve">119 </w:t>
            </w:r>
          </w:p>
        </w:tc>
        <w:tc>
          <w:tcPr>
            <w:tcW w:w="1246" w:type="dxa"/>
            <w:tcBorders/>
            <w:vAlign w:val="center"/>
          </w:tcPr>
          <w:p>
            <w:pPr>
              <w:pStyle w:val="TableContents"/>
              <w:bidi w:val="0"/>
              <w:spacing w:before="0" w:after="283"/>
              <w:jc w:val="start"/>
              <w:rPr/>
            </w:pPr>
            <w:r>
              <w:rPr/>
              <w:t xml:space="preserve">63. 98 </w:t>
            </w:r>
          </w:p>
        </w:tc>
      </w:tr>
      <w:tr>
        <w:trPr/>
        <w:tc>
          <w:tcPr>
            <w:tcW w:w="2956" w:type="dxa"/>
            <w:tcBorders/>
            <w:vAlign w:val="center"/>
          </w:tcPr>
          <w:p>
            <w:pPr>
              <w:pStyle w:val="TableContents"/>
              <w:bidi w:val="0"/>
              <w:spacing w:before="0" w:after="283"/>
              <w:jc w:val="start"/>
              <w:rPr/>
            </w:pPr>
            <w:r>
              <w:rPr/>
              <w:t xml:space="preserve">RT+CT </w:t>
            </w:r>
          </w:p>
        </w:tc>
        <w:tc>
          <w:tcPr>
            <w:tcW w:w="946" w:type="dxa"/>
            <w:tcBorders/>
            <w:vAlign w:val="center"/>
          </w:tcPr>
          <w:p>
            <w:pPr>
              <w:pStyle w:val="TableContents"/>
              <w:bidi w:val="0"/>
              <w:spacing w:before="0" w:after="283"/>
              <w:jc w:val="start"/>
              <w:rPr/>
            </w:pPr>
            <w:r>
              <w:rPr/>
              <w:t xml:space="preserve">21 </w:t>
            </w:r>
          </w:p>
        </w:tc>
        <w:tc>
          <w:tcPr>
            <w:tcW w:w="1246" w:type="dxa"/>
            <w:tcBorders/>
            <w:vAlign w:val="center"/>
          </w:tcPr>
          <w:p>
            <w:pPr>
              <w:pStyle w:val="TableContents"/>
              <w:bidi w:val="0"/>
              <w:spacing w:before="0" w:after="283"/>
              <w:jc w:val="start"/>
              <w:rPr/>
            </w:pPr>
            <w:r>
              <w:rPr/>
              <w:t xml:space="preserve">11. 29 </w:t>
            </w:r>
          </w:p>
        </w:tc>
      </w:tr>
      <w:tr>
        <w:trPr/>
        <w:tc>
          <w:tcPr>
            <w:tcW w:w="2956" w:type="dxa"/>
            <w:tcBorders/>
            <w:vAlign w:val="center"/>
          </w:tcPr>
          <w:p>
            <w:pPr>
              <w:pStyle w:val="TableContents"/>
              <w:bidi w:val="0"/>
              <w:spacing w:before="0" w:after="283"/>
              <w:jc w:val="start"/>
              <w:rPr/>
            </w:pPr>
            <w:r>
              <w:rPr/>
              <w:t xml:space="preserve">No treatment </w:t>
            </w:r>
          </w:p>
        </w:tc>
        <w:tc>
          <w:tcPr>
            <w:tcW w:w="946" w:type="dxa"/>
            <w:tcBorders/>
            <w:vAlign w:val="center"/>
          </w:tcPr>
          <w:p>
            <w:pPr>
              <w:pStyle w:val="TableContents"/>
              <w:bidi w:val="0"/>
              <w:spacing w:before="0" w:after="283"/>
              <w:jc w:val="start"/>
              <w:rPr/>
            </w:pPr>
            <w:r>
              <w:rPr/>
              <w:t xml:space="preserve">46 </w:t>
            </w:r>
          </w:p>
        </w:tc>
        <w:tc>
          <w:tcPr>
            <w:tcW w:w="1246" w:type="dxa"/>
            <w:tcBorders/>
            <w:vAlign w:val="center"/>
          </w:tcPr>
          <w:p>
            <w:pPr>
              <w:pStyle w:val="TableContents"/>
              <w:bidi w:val="0"/>
              <w:spacing w:before="0" w:after="283"/>
              <w:jc w:val="start"/>
              <w:rPr/>
            </w:pPr>
            <w:r>
              <w:rPr/>
              <w:t xml:space="preserve">24. 73 </w:t>
            </w:r>
          </w:p>
        </w:tc>
      </w:tr>
      <w:tr>
        <w:trPr/>
        <w:tc>
          <w:tcPr>
            <w:tcW w:w="2956" w:type="dxa"/>
            <w:tcBorders/>
            <w:vAlign w:val="center"/>
          </w:tcPr>
          <w:p>
            <w:pPr>
              <w:pStyle w:val="TableContents"/>
              <w:bidi w:val="0"/>
              <w:spacing w:before="0" w:after="283"/>
              <w:jc w:val="start"/>
              <w:rPr>
                <w:sz w:val="4"/>
                <w:szCs w:val="4"/>
              </w:rPr>
            </w:pPr>
            <w:r>
              <w:rPr>
                <w:sz w:val="4"/>
                <w:szCs w:val="4"/>
              </w:rPr>
            </w:r>
          </w:p>
        </w:tc>
        <w:tc>
          <w:tcPr>
            <w:tcW w:w="946"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2: Distribution of patients and one year survival with primary tumor site </w:t>
      </w:r>
    </w:p>
    <w:tbl>
      <w:tblPr>
        <w:tblW w:w="5421" w:type="dxa"/>
        <w:jc w:val="start"/>
        <w:tblInd w:w="0" w:type="dxa"/>
        <w:tblLayout w:type="fixed"/>
        <w:tblCellMar>
          <w:top w:w="28" w:type="dxa"/>
          <w:start w:w="28" w:type="dxa"/>
          <w:bottom w:w="28" w:type="dxa"/>
          <w:end w:w="28" w:type="dxa"/>
        </w:tblCellMar>
      </w:tblPr>
      <w:tblGrid>
        <w:gridCol w:w="1081"/>
        <w:gridCol w:w="601"/>
        <w:gridCol w:w="1141"/>
        <w:gridCol w:w="841"/>
        <w:gridCol w:w="901"/>
        <w:gridCol w:w="856"/>
      </w:tblGrid>
      <w:tr>
        <w:trPr/>
        <w:tc>
          <w:tcPr>
            <w:tcW w:w="1081" w:type="dxa"/>
            <w:tcBorders/>
            <w:vAlign w:val="center"/>
          </w:tcPr>
          <w:p>
            <w:pPr>
              <w:pStyle w:val="TableContents"/>
              <w:bidi w:val="0"/>
              <w:spacing w:before="0" w:after="283"/>
              <w:jc w:val="start"/>
              <w:rPr/>
            </w:pPr>
            <w:r>
              <w:rPr/>
              <w:t xml:space="preserve">Primary Tumor site </w:t>
            </w:r>
          </w:p>
        </w:tc>
        <w:tc>
          <w:tcPr>
            <w:tcW w:w="601" w:type="dxa"/>
            <w:tcBorders/>
            <w:vAlign w:val="center"/>
          </w:tcPr>
          <w:p>
            <w:pPr>
              <w:pStyle w:val="TableContents"/>
              <w:bidi w:val="0"/>
              <w:spacing w:before="0" w:after="283"/>
              <w:jc w:val="start"/>
              <w:rPr/>
            </w:pPr>
            <w:r>
              <w:rPr/>
              <w:t xml:space="preserve">No. of cases </w:t>
            </w:r>
          </w:p>
        </w:tc>
        <w:tc>
          <w:tcPr>
            <w:tcW w:w="1141" w:type="dxa"/>
            <w:tcBorders/>
            <w:vAlign w:val="center"/>
          </w:tcPr>
          <w:p>
            <w:pPr>
              <w:pStyle w:val="TableContents"/>
              <w:bidi w:val="0"/>
              <w:spacing w:before="0" w:after="283"/>
              <w:jc w:val="start"/>
              <w:rPr/>
            </w:pPr>
            <w:r>
              <w:rPr/>
              <w:t xml:space="preserve">Percentage </w:t>
            </w:r>
          </w:p>
        </w:tc>
        <w:tc>
          <w:tcPr>
            <w:tcW w:w="841" w:type="dxa"/>
            <w:tcBorders/>
            <w:vAlign w:val="center"/>
          </w:tcPr>
          <w:p>
            <w:pPr>
              <w:pStyle w:val="TableContents"/>
              <w:bidi w:val="0"/>
              <w:jc w:val="start"/>
              <w:rPr/>
            </w:pPr>
            <w:r>
              <w:rPr/>
              <w:t xml:space="preserve">Treated Patients </w:t>
            </w:r>
          </w:p>
          <w:p>
            <w:pPr>
              <w:pStyle w:val="TableContents"/>
              <w:bidi w:val="0"/>
              <w:spacing w:before="0" w:after="283"/>
              <w:jc w:val="start"/>
              <w:rPr/>
            </w:pPr>
            <w:r>
              <w:rPr/>
              <w:t xml:space="preserve">No. of cases (%) </w:t>
            </w:r>
          </w:p>
        </w:tc>
        <w:tc>
          <w:tcPr>
            <w:tcW w:w="901" w:type="dxa"/>
            <w:tcBorders/>
            <w:vAlign w:val="center"/>
          </w:tcPr>
          <w:p>
            <w:pPr>
              <w:pStyle w:val="TableContents"/>
              <w:bidi w:val="0"/>
              <w:jc w:val="start"/>
              <w:rPr/>
            </w:pPr>
            <w:r>
              <w:rPr/>
              <w:t xml:space="preserve">Survival at </w:t>
            </w:r>
          </w:p>
          <w:p>
            <w:pPr>
              <w:pStyle w:val="TableContents"/>
              <w:bidi w:val="0"/>
              <w:spacing w:before="0" w:after="283"/>
              <w:jc w:val="start"/>
              <w:rPr/>
            </w:pPr>
            <w:r>
              <w:rPr/>
              <w:t xml:space="preserve">1 year </w:t>
            </w:r>
          </w:p>
        </w:tc>
        <w:tc>
          <w:tcPr>
            <w:tcW w:w="856" w:type="dxa"/>
            <w:tcBorders/>
            <w:vAlign w:val="center"/>
          </w:tcPr>
          <w:p>
            <w:pPr>
              <w:pStyle w:val="TableContents"/>
              <w:bidi w:val="0"/>
              <w:spacing w:before="0" w:after="283"/>
              <w:jc w:val="start"/>
              <w:rPr/>
            </w:pPr>
            <w:r>
              <w:rPr/>
              <w:t xml:space="preserve">p-value </w:t>
            </w:r>
          </w:p>
        </w:tc>
      </w:tr>
      <w:tr>
        <w:trPr/>
        <w:tc>
          <w:tcPr>
            <w:tcW w:w="1081" w:type="dxa"/>
            <w:tcBorders/>
            <w:vAlign w:val="center"/>
          </w:tcPr>
          <w:p>
            <w:pPr>
              <w:pStyle w:val="TableContents"/>
              <w:bidi w:val="0"/>
              <w:spacing w:before="0" w:after="283"/>
              <w:jc w:val="start"/>
              <w:rPr/>
            </w:pPr>
            <w:r>
              <w:rPr/>
              <w:t xml:space="preserve">Lung </w:t>
            </w:r>
          </w:p>
        </w:tc>
        <w:tc>
          <w:tcPr>
            <w:tcW w:w="601" w:type="dxa"/>
            <w:tcBorders/>
            <w:vAlign w:val="center"/>
          </w:tcPr>
          <w:p>
            <w:pPr>
              <w:pStyle w:val="TableContents"/>
              <w:bidi w:val="0"/>
              <w:spacing w:before="0" w:after="283"/>
              <w:jc w:val="start"/>
              <w:rPr/>
            </w:pPr>
            <w:r>
              <w:rPr/>
              <w:t xml:space="preserve">82 </w:t>
            </w:r>
          </w:p>
        </w:tc>
        <w:tc>
          <w:tcPr>
            <w:tcW w:w="1141" w:type="dxa"/>
            <w:tcBorders/>
            <w:vAlign w:val="center"/>
          </w:tcPr>
          <w:p>
            <w:pPr>
              <w:pStyle w:val="TableContents"/>
              <w:bidi w:val="0"/>
              <w:spacing w:before="0" w:after="283"/>
              <w:jc w:val="start"/>
              <w:rPr/>
            </w:pPr>
            <w:r>
              <w:rPr/>
              <w:t xml:space="preserve">44. 08 </w:t>
            </w:r>
          </w:p>
        </w:tc>
        <w:tc>
          <w:tcPr>
            <w:tcW w:w="841" w:type="dxa"/>
            <w:tcBorders/>
            <w:vAlign w:val="center"/>
          </w:tcPr>
          <w:p>
            <w:pPr>
              <w:pStyle w:val="TableContents"/>
              <w:bidi w:val="0"/>
              <w:spacing w:before="0" w:after="283"/>
              <w:jc w:val="start"/>
              <w:rPr/>
            </w:pPr>
            <w:r>
              <w:rPr/>
              <w:t xml:space="preserve">62 (44. 28) </w:t>
            </w:r>
          </w:p>
        </w:tc>
        <w:tc>
          <w:tcPr>
            <w:tcW w:w="901" w:type="dxa"/>
            <w:tcBorders/>
            <w:vAlign w:val="center"/>
          </w:tcPr>
          <w:p>
            <w:pPr>
              <w:pStyle w:val="TableContents"/>
              <w:bidi w:val="0"/>
              <w:spacing w:before="0" w:after="283"/>
              <w:jc w:val="start"/>
              <w:rPr/>
            </w:pPr>
            <w:r>
              <w:rPr/>
              <w:t xml:space="preserve">2 </w:t>
            </w:r>
          </w:p>
        </w:tc>
        <w:tc>
          <w:tcPr>
            <w:tcW w:w="856" w:type="dxa"/>
            <w:tcBorders/>
            <w:vAlign w:val="center"/>
          </w:tcPr>
          <w:p>
            <w:pPr>
              <w:pStyle w:val="TableContents"/>
              <w:bidi w:val="0"/>
              <w:spacing w:before="0" w:after="283"/>
              <w:jc w:val="start"/>
              <w:rPr/>
            </w:pPr>
            <w:r>
              <w:rPr/>
              <w:t xml:space="preserve">0. 10 </w:t>
            </w:r>
          </w:p>
        </w:tc>
      </w:tr>
      <w:tr>
        <w:trPr/>
        <w:tc>
          <w:tcPr>
            <w:tcW w:w="1081" w:type="dxa"/>
            <w:tcBorders/>
            <w:vAlign w:val="center"/>
          </w:tcPr>
          <w:p>
            <w:pPr>
              <w:pStyle w:val="TableContents"/>
              <w:bidi w:val="0"/>
              <w:spacing w:before="0" w:after="283"/>
              <w:jc w:val="start"/>
              <w:rPr/>
            </w:pPr>
            <w:r>
              <w:rPr/>
              <w:t xml:space="preserve">Breast </w:t>
            </w:r>
          </w:p>
        </w:tc>
        <w:tc>
          <w:tcPr>
            <w:tcW w:w="601" w:type="dxa"/>
            <w:tcBorders/>
            <w:vAlign w:val="center"/>
          </w:tcPr>
          <w:p>
            <w:pPr>
              <w:pStyle w:val="TableContents"/>
              <w:bidi w:val="0"/>
              <w:spacing w:before="0" w:after="283"/>
              <w:jc w:val="start"/>
              <w:rPr/>
            </w:pPr>
            <w:r>
              <w:rPr/>
              <w:t xml:space="preserve">46 </w:t>
            </w:r>
          </w:p>
        </w:tc>
        <w:tc>
          <w:tcPr>
            <w:tcW w:w="1141" w:type="dxa"/>
            <w:tcBorders/>
            <w:vAlign w:val="center"/>
          </w:tcPr>
          <w:p>
            <w:pPr>
              <w:pStyle w:val="TableContents"/>
              <w:bidi w:val="0"/>
              <w:spacing w:before="0" w:after="283"/>
              <w:jc w:val="start"/>
              <w:rPr/>
            </w:pPr>
            <w:r>
              <w:rPr/>
              <w:t xml:space="preserve">24. 73 </w:t>
            </w:r>
          </w:p>
        </w:tc>
        <w:tc>
          <w:tcPr>
            <w:tcW w:w="841" w:type="dxa"/>
            <w:tcBorders/>
            <w:vAlign w:val="center"/>
          </w:tcPr>
          <w:p>
            <w:pPr>
              <w:pStyle w:val="TableContents"/>
              <w:bidi w:val="0"/>
              <w:spacing w:before="0" w:after="283"/>
              <w:jc w:val="start"/>
              <w:rPr/>
            </w:pPr>
            <w:r>
              <w:rPr/>
              <w:t xml:space="preserve">33 (23. 57) </w:t>
            </w:r>
          </w:p>
        </w:tc>
        <w:tc>
          <w:tcPr>
            <w:tcW w:w="901" w:type="dxa"/>
            <w:tcBorders/>
            <w:vAlign w:val="center"/>
          </w:tcPr>
          <w:p>
            <w:pPr>
              <w:pStyle w:val="TableContents"/>
              <w:bidi w:val="0"/>
              <w:spacing w:before="0" w:after="283"/>
              <w:jc w:val="start"/>
              <w:rPr/>
            </w:pPr>
            <w:r>
              <w:rPr/>
              <w:t xml:space="preserve">6 </w:t>
            </w:r>
          </w:p>
        </w:tc>
        <w:tc>
          <w:tcPr>
            <w:tcW w:w="856" w:type="dxa"/>
            <w:tcBorders/>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Pr>
            <w:r>
              <w:rPr/>
              <w:t xml:space="preserve">Renal cell ca </w:t>
            </w:r>
          </w:p>
        </w:tc>
        <w:tc>
          <w:tcPr>
            <w:tcW w:w="601" w:type="dxa"/>
            <w:tcBorders/>
            <w:vAlign w:val="center"/>
          </w:tcPr>
          <w:p>
            <w:pPr>
              <w:pStyle w:val="TableContents"/>
              <w:bidi w:val="0"/>
              <w:spacing w:before="0" w:after="283"/>
              <w:jc w:val="start"/>
              <w:rPr/>
            </w:pPr>
            <w:r>
              <w:rPr/>
              <w:t xml:space="preserve">11 </w:t>
            </w:r>
          </w:p>
        </w:tc>
        <w:tc>
          <w:tcPr>
            <w:tcW w:w="1141" w:type="dxa"/>
            <w:tcBorders/>
            <w:vAlign w:val="center"/>
          </w:tcPr>
          <w:p>
            <w:pPr>
              <w:pStyle w:val="TableContents"/>
              <w:bidi w:val="0"/>
              <w:spacing w:before="0" w:after="283"/>
              <w:jc w:val="start"/>
              <w:rPr/>
            </w:pPr>
            <w:r>
              <w:rPr/>
              <w:t xml:space="preserve">5. 91 </w:t>
            </w:r>
          </w:p>
        </w:tc>
        <w:tc>
          <w:tcPr>
            <w:tcW w:w="841" w:type="dxa"/>
            <w:tcBorders/>
            <w:vAlign w:val="center"/>
          </w:tcPr>
          <w:p>
            <w:pPr>
              <w:pStyle w:val="TableContents"/>
              <w:bidi w:val="0"/>
              <w:spacing w:before="0" w:after="283"/>
              <w:jc w:val="start"/>
              <w:rPr/>
            </w:pPr>
            <w:r>
              <w:rPr/>
              <w:t xml:space="preserve">9 (6. 4) </w:t>
            </w:r>
          </w:p>
        </w:tc>
        <w:tc>
          <w:tcPr>
            <w:tcW w:w="901" w:type="dxa"/>
            <w:tcBorders/>
            <w:vAlign w:val="center"/>
          </w:tcPr>
          <w:p>
            <w:pPr>
              <w:pStyle w:val="TableContents"/>
              <w:bidi w:val="0"/>
              <w:spacing w:before="0" w:after="283"/>
              <w:jc w:val="start"/>
              <w:rPr/>
            </w:pPr>
            <w:r>
              <w:rPr/>
              <w:t xml:space="preserve">1 </w:t>
            </w:r>
          </w:p>
        </w:tc>
        <w:tc>
          <w:tcPr>
            <w:tcW w:w="856" w:type="dxa"/>
            <w:tcBorders/>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Pr>
            <w:r>
              <w:rPr/>
              <w:t xml:space="preserve">Head &amp; neck </w:t>
            </w:r>
          </w:p>
        </w:tc>
        <w:tc>
          <w:tcPr>
            <w:tcW w:w="601" w:type="dxa"/>
            <w:tcBorders/>
            <w:vAlign w:val="center"/>
          </w:tcPr>
          <w:p>
            <w:pPr>
              <w:pStyle w:val="TableContents"/>
              <w:bidi w:val="0"/>
              <w:spacing w:before="0" w:after="283"/>
              <w:jc w:val="start"/>
              <w:rPr/>
            </w:pPr>
            <w:r>
              <w:rPr/>
              <w:t xml:space="preserve">7 </w:t>
            </w:r>
          </w:p>
        </w:tc>
        <w:tc>
          <w:tcPr>
            <w:tcW w:w="1141" w:type="dxa"/>
            <w:tcBorders/>
            <w:vAlign w:val="center"/>
          </w:tcPr>
          <w:p>
            <w:pPr>
              <w:pStyle w:val="TableContents"/>
              <w:bidi w:val="0"/>
              <w:spacing w:before="0" w:after="283"/>
              <w:jc w:val="start"/>
              <w:rPr/>
            </w:pPr>
            <w:r>
              <w:rPr/>
              <w:t xml:space="preserve">3. 76 </w:t>
            </w:r>
          </w:p>
        </w:tc>
        <w:tc>
          <w:tcPr>
            <w:tcW w:w="841" w:type="dxa"/>
            <w:tcBorders/>
            <w:vAlign w:val="center"/>
          </w:tcPr>
          <w:p>
            <w:pPr>
              <w:pStyle w:val="TableContents"/>
              <w:bidi w:val="0"/>
              <w:spacing w:before="0" w:after="283"/>
              <w:jc w:val="start"/>
              <w:rPr/>
            </w:pPr>
            <w:r>
              <w:rPr/>
              <w:t xml:space="preserve">5 (3. 50) </w:t>
            </w:r>
          </w:p>
        </w:tc>
        <w:tc>
          <w:tcPr>
            <w:tcW w:w="901" w:type="dxa"/>
            <w:tcBorders/>
            <w:vAlign w:val="center"/>
          </w:tcPr>
          <w:p>
            <w:pPr>
              <w:pStyle w:val="TableContents"/>
              <w:bidi w:val="0"/>
              <w:spacing w:before="0" w:after="283"/>
              <w:jc w:val="start"/>
              <w:rPr/>
            </w:pPr>
            <w:r>
              <w:rPr/>
              <w:t xml:space="preserve">1 </w:t>
            </w:r>
          </w:p>
        </w:tc>
        <w:tc>
          <w:tcPr>
            <w:tcW w:w="856" w:type="dxa"/>
            <w:tcBorders/>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Pr>
            <w:r>
              <w:rPr/>
              <w:t xml:space="preserve">GIT </w:t>
            </w:r>
          </w:p>
        </w:tc>
        <w:tc>
          <w:tcPr>
            <w:tcW w:w="601" w:type="dxa"/>
            <w:tcBorders/>
            <w:vAlign w:val="center"/>
          </w:tcPr>
          <w:p>
            <w:pPr>
              <w:pStyle w:val="TableContents"/>
              <w:bidi w:val="0"/>
              <w:spacing w:before="0" w:after="283"/>
              <w:jc w:val="start"/>
              <w:rPr/>
            </w:pPr>
            <w:r>
              <w:rPr/>
              <w:t xml:space="preserve">6 </w:t>
            </w:r>
          </w:p>
        </w:tc>
        <w:tc>
          <w:tcPr>
            <w:tcW w:w="1141" w:type="dxa"/>
            <w:tcBorders/>
            <w:vAlign w:val="center"/>
          </w:tcPr>
          <w:p>
            <w:pPr>
              <w:pStyle w:val="TableContents"/>
              <w:bidi w:val="0"/>
              <w:spacing w:before="0" w:after="283"/>
              <w:jc w:val="start"/>
              <w:rPr/>
            </w:pPr>
            <w:r>
              <w:rPr/>
              <w:t xml:space="preserve">3. 22 </w:t>
            </w:r>
          </w:p>
        </w:tc>
        <w:tc>
          <w:tcPr>
            <w:tcW w:w="841" w:type="dxa"/>
            <w:tcBorders/>
            <w:vAlign w:val="center"/>
          </w:tcPr>
          <w:p>
            <w:pPr>
              <w:pStyle w:val="TableContents"/>
              <w:bidi w:val="0"/>
              <w:spacing w:before="0" w:after="283"/>
              <w:jc w:val="start"/>
              <w:rPr/>
            </w:pPr>
            <w:r>
              <w:rPr/>
              <w:t xml:space="preserve">5 (3. 50) </w:t>
            </w:r>
          </w:p>
        </w:tc>
        <w:tc>
          <w:tcPr>
            <w:tcW w:w="901" w:type="dxa"/>
            <w:tcBorders/>
            <w:vAlign w:val="center"/>
          </w:tcPr>
          <w:p>
            <w:pPr>
              <w:pStyle w:val="TableContents"/>
              <w:bidi w:val="0"/>
              <w:spacing w:before="0" w:after="283"/>
              <w:jc w:val="start"/>
              <w:rPr/>
            </w:pPr>
            <w:r>
              <w:rPr/>
              <w:t xml:space="preserve">0 </w:t>
            </w:r>
          </w:p>
        </w:tc>
        <w:tc>
          <w:tcPr>
            <w:tcW w:w="856" w:type="dxa"/>
            <w:tcBorders/>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Pr>
            <w:r>
              <w:rPr/>
              <w:t xml:space="preserve">GUT </w:t>
            </w:r>
          </w:p>
        </w:tc>
        <w:tc>
          <w:tcPr>
            <w:tcW w:w="601" w:type="dxa"/>
            <w:tcBorders/>
            <w:vAlign w:val="center"/>
          </w:tcPr>
          <w:p>
            <w:pPr>
              <w:pStyle w:val="TableContents"/>
              <w:bidi w:val="0"/>
              <w:spacing w:before="0" w:after="283"/>
              <w:jc w:val="start"/>
              <w:rPr/>
            </w:pPr>
            <w:r>
              <w:rPr/>
              <w:t xml:space="preserve">6 </w:t>
            </w:r>
          </w:p>
        </w:tc>
        <w:tc>
          <w:tcPr>
            <w:tcW w:w="1141" w:type="dxa"/>
            <w:tcBorders/>
            <w:vAlign w:val="center"/>
          </w:tcPr>
          <w:p>
            <w:pPr>
              <w:pStyle w:val="TableContents"/>
              <w:bidi w:val="0"/>
              <w:spacing w:before="0" w:after="283"/>
              <w:jc w:val="start"/>
              <w:rPr/>
            </w:pPr>
            <w:r>
              <w:rPr/>
              <w:t xml:space="preserve">3. 22 </w:t>
            </w:r>
          </w:p>
        </w:tc>
        <w:tc>
          <w:tcPr>
            <w:tcW w:w="841" w:type="dxa"/>
            <w:tcBorders/>
            <w:vAlign w:val="center"/>
          </w:tcPr>
          <w:p>
            <w:pPr>
              <w:pStyle w:val="TableContents"/>
              <w:bidi w:val="0"/>
              <w:spacing w:before="0" w:after="283"/>
              <w:jc w:val="start"/>
              <w:rPr/>
            </w:pPr>
            <w:r>
              <w:rPr/>
              <w:t xml:space="preserve">4 (2. 85) </w:t>
            </w:r>
          </w:p>
        </w:tc>
        <w:tc>
          <w:tcPr>
            <w:tcW w:w="901" w:type="dxa"/>
            <w:tcBorders/>
            <w:vAlign w:val="center"/>
          </w:tcPr>
          <w:p>
            <w:pPr>
              <w:pStyle w:val="TableContents"/>
              <w:bidi w:val="0"/>
              <w:spacing w:before="0" w:after="283"/>
              <w:jc w:val="start"/>
              <w:rPr/>
            </w:pPr>
            <w:r>
              <w:rPr/>
              <w:t xml:space="preserve">0 </w:t>
            </w:r>
          </w:p>
        </w:tc>
        <w:tc>
          <w:tcPr>
            <w:tcW w:w="856" w:type="dxa"/>
            <w:tcBorders/>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Pr>
            <w:r>
              <w:rPr/>
              <w:t xml:space="preserve">Testicular tumor </w:t>
            </w:r>
          </w:p>
        </w:tc>
        <w:tc>
          <w:tcPr>
            <w:tcW w:w="601" w:type="dxa"/>
            <w:tcBorders/>
            <w:vAlign w:val="center"/>
          </w:tcPr>
          <w:p>
            <w:pPr>
              <w:pStyle w:val="TableContents"/>
              <w:bidi w:val="0"/>
              <w:spacing w:before="0" w:after="283"/>
              <w:jc w:val="start"/>
              <w:rPr/>
            </w:pPr>
            <w:r>
              <w:rPr/>
              <w:t xml:space="preserve">5 </w:t>
            </w:r>
          </w:p>
        </w:tc>
        <w:tc>
          <w:tcPr>
            <w:tcW w:w="1141" w:type="dxa"/>
            <w:tcBorders/>
            <w:vAlign w:val="center"/>
          </w:tcPr>
          <w:p>
            <w:pPr>
              <w:pStyle w:val="TableContents"/>
              <w:bidi w:val="0"/>
              <w:spacing w:before="0" w:after="283"/>
              <w:jc w:val="start"/>
              <w:rPr/>
            </w:pPr>
            <w:r>
              <w:rPr/>
              <w:t xml:space="preserve">2. 68 </w:t>
            </w:r>
          </w:p>
        </w:tc>
        <w:tc>
          <w:tcPr>
            <w:tcW w:w="841" w:type="dxa"/>
            <w:tcBorders/>
            <w:vAlign w:val="center"/>
          </w:tcPr>
          <w:p>
            <w:pPr>
              <w:pStyle w:val="TableContents"/>
              <w:bidi w:val="0"/>
              <w:spacing w:before="0" w:after="283"/>
              <w:jc w:val="start"/>
              <w:rPr/>
            </w:pPr>
            <w:r>
              <w:rPr/>
              <w:t xml:space="preserve">4 (2. 85) </w:t>
            </w:r>
          </w:p>
        </w:tc>
        <w:tc>
          <w:tcPr>
            <w:tcW w:w="901" w:type="dxa"/>
            <w:tcBorders/>
            <w:vAlign w:val="center"/>
          </w:tcPr>
          <w:p>
            <w:pPr>
              <w:pStyle w:val="TableContents"/>
              <w:bidi w:val="0"/>
              <w:spacing w:before="0" w:after="283"/>
              <w:jc w:val="start"/>
              <w:rPr/>
            </w:pPr>
            <w:r>
              <w:rPr/>
              <w:t xml:space="preserve">0 </w:t>
            </w:r>
          </w:p>
        </w:tc>
        <w:tc>
          <w:tcPr>
            <w:tcW w:w="856" w:type="dxa"/>
            <w:tcBorders/>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Pr>
            <w:r>
              <w:rPr/>
              <w:t xml:space="preserve">Sarcomas </w:t>
            </w:r>
          </w:p>
        </w:tc>
        <w:tc>
          <w:tcPr>
            <w:tcW w:w="601" w:type="dxa"/>
            <w:tcBorders/>
            <w:vAlign w:val="center"/>
          </w:tcPr>
          <w:p>
            <w:pPr>
              <w:pStyle w:val="TableContents"/>
              <w:bidi w:val="0"/>
              <w:spacing w:before="0" w:after="283"/>
              <w:jc w:val="start"/>
              <w:rPr/>
            </w:pPr>
            <w:r>
              <w:rPr/>
              <w:t xml:space="preserve">4 </w:t>
            </w:r>
          </w:p>
        </w:tc>
        <w:tc>
          <w:tcPr>
            <w:tcW w:w="1141" w:type="dxa"/>
            <w:tcBorders/>
            <w:vAlign w:val="center"/>
          </w:tcPr>
          <w:p>
            <w:pPr>
              <w:pStyle w:val="TableContents"/>
              <w:bidi w:val="0"/>
              <w:spacing w:before="0" w:after="283"/>
              <w:jc w:val="start"/>
              <w:rPr/>
            </w:pPr>
            <w:r>
              <w:rPr/>
              <w:t xml:space="preserve">2. 15 </w:t>
            </w:r>
          </w:p>
        </w:tc>
        <w:tc>
          <w:tcPr>
            <w:tcW w:w="841" w:type="dxa"/>
            <w:tcBorders/>
            <w:vAlign w:val="center"/>
          </w:tcPr>
          <w:p>
            <w:pPr>
              <w:pStyle w:val="TableContents"/>
              <w:bidi w:val="0"/>
              <w:spacing w:before="0" w:after="283"/>
              <w:jc w:val="start"/>
              <w:rPr/>
            </w:pPr>
            <w:r>
              <w:rPr/>
              <w:t xml:space="preserve">3 (2. 14) </w:t>
            </w:r>
          </w:p>
        </w:tc>
        <w:tc>
          <w:tcPr>
            <w:tcW w:w="901" w:type="dxa"/>
            <w:tcBorders/>
            <w:vAlign w:val="center"/>
          </w:tcPr>
          <w:p>
            <w:pPr>
              <w:pStyle w:val="TableContents"/>
              <w:bidi w:val="0"/>
              <w:spacing w:before="0" w:after="283"/>
              <w:jc w:val="start"/>
              <w:rPr/>
            </w:pPr>
            <w:r>
              <w:rPr/>
              <w:t xml:space="preserve">0 </w:t>
            </w:r>
          </w:p>
        </w:tc>
        <w:tc>
          <w:tcPr>
            <w:tcW w:w="856" w:type="dxa"/>
            <w:tcBorders/>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Pr>
            <w:r>
              <w:rPr/>
              <w:t xml:space="preserve">Other </w:t>
            </w:r>
          </w:p>
        </w:tc>
        <w:tc>
          <w:tcPr>
            <w:tcW w:w="601" w:type="dxa"/>
            <w:tcBorders/>
            <w:vAlign w:val="center"/>
          </w:tcPr>
          <w:p>
            <w:pPr>
              <w:pStyle w:val="TableContents"/>
              <w:bidi w:val="0"/>
              <w:spacing w:before="0" w:after="283"/>
              <w:jc w:val="start"/>
              <w:rPr/>
            </w:pPr>
            <w:r>
              <w:rPr/>
              <w:t xml:space="preserve">8 </w:t>
            </w:r>
          </w:p>
        </w:tc>
        <w:tc>
          <w:tcPr>
            <w:tcW w:w="1141" w:type="dxa"/>
            <w:tcBorders/>
            <w:vAlign w:val="center"/>
          </w:tcPr>
          <w:p>
            <w:pPr>
              <w:pStyle w:val="TableContents"/>
              <w:bidi w:val="0"/>
              <w:spacing w:before="0" w:after="283"/>
              <w:jc w:val="start"/>
              <w:rPr/>
            </w:pPr>
            <w:r>
              <w:rPr/>
              <w:t xml:space="preserve">4. 30 </w:t>
            </w:r>
          </w:p>
        </w:tc>
        <w:tc>
          <w:tcPr>
            <w:tcW w:w="841" w:type="dxa"/>
            <w:tcBorders/>
            <w:vAlign w:val="center"/>
          </w:tcPr>
          <w:p>
            <w:pPr>
              <w:pStyle w:val="TableContents"/>
              <w:bidi w:val="0"/>
              <w:spacing w:before="0" w:after="283"/>
              <w:jc w:val="start"/>
              <w:rPr/>
            </w:pPr>
            <w:r>
              <w:rPr/>
              <w:t xml:space="preserve">7 (5. 00) </w:t>
            </w:r>
          </w:p>
        </w:tc>
        <w:tc>
          <w:tcPr>
            <w:tcW w:w="901" w:type="dxa"/>
            <w:tcBorders/>
            <w:vAlign w:val="center"/>
          </w:tcPr>
          <w:p>
            <w:pPr>
              <w:pStyle w:val="TableContents"/>
              <w:bidi w:val="0"/>
              <w:spacing w:before="0" w:after="283"/>
              <w:jc w:val="start"/>
              <w:rPr/>
            </w:pPr>
            <w:r>
              <w:rPr/>
              <w:t xml:space="preserve">1 </w:t>
            </w:r>
          </w:p>
        </w:tc>
        <w:tc>
          <w:tcPr>
            <w:tcW w:w="856" w:type="dxa"/>
            <w:tcBorders/>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Pr>
            <w:r>
              <w:rPr/>
              <w:t xml:space="preserve">Unknown </w:t>
            </w:r>
          </w:p>
        </w:tc>
        <w:tc>
          <w:tcPr>
            <w:tcW w:w="601" w:type="dxa"/>
            <w:tcBorders/>
            <w:vAlign w:val="center"/>
          </w:tcPr>
          <w:p>
            <w:pPr>
              <w:pStyle w:val="TableContents"/>
              <w:bidi w:val="0"/>
              <w:spacing w:before="0" w:after="283"/>
              <w:jc w:val="start"/>
              <w:rPr/>
            </w:pPr>
            <w:r>
              <w:rPr/>
              <w:t xml:space="preserve">11 </w:t>
            </w:r>
          </w:p>
        </w:tc>
        <w:tc>
          <w:tcPr>
            <w:tcW w:w="1141" w:type="dxa"/>
            <w:tcBorders/>
            <w:vAlign w:val="center"/>
          </w:tcPr>
          <w:p>
            <w:pPr>
              <w:pStyle w:val="TableContents"/>
              <w:bidi w:val="0"/>
              <w:spacing w:before="0" w:after="283"/>
              <w:jc w:val="start"/>
              <w:rPr/>
            </w:pPr>
            <w:r>
              <w:rPr/>
              <w:t xml:space="preserve">5. 91 </w:t>
            </w:r>
          </w:p>
        </w:tc>
        <w:tc>
          <w:tcPr>
            <w:tcW w:w="841" w:type="dxa"/>
            <w:tcBorders/>
            <w:vAlign w:val="center"/>
          </w:tcPr>
          <w:p>
            <w:pPr>
              <w:pStyle w:val="TableContents"/>
              <w:bidi w:val="0"/>
              <w:spacing w:before="0" w:after="283"/>
              <w:jc w:val="start"/>
              <w:rPr/>
            </w:pPr>
            <w:r>
              <w:rPr/>
              <w:t xml:space="preserve">8 (5. 71) </w:t>
            </w:r>
          </w:p>
        </w:tc>
        <w:tc>
          <w:tcPr>
            <w:tcW w:w="901" w:type="dxa"/>
            <w:tcBorders/>
            <w:vAlign w:val="center"/>
          </w:tcPr>
          <w:p>
            <w:pPr>
              <w:pStyle w:val="TableContents"/>
              <w:bidi w:val="0"/>
              <w:spacing w:before="0" w:after="283"/>
              <w:jc w:val="start"/>
              <w:rPr/>
            </w:pPr>
            <w:r>
              <w:rPr/>
              <w:t xml:space="preserve">1 </w:t>
            </w:r>
          </w:p>
        </w:tc>
        <w:tc>
          <w:tcPr>
            <w:tcW w:w="856" w:type="dxa"/>
            <w:tcBorders/>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Pr>
            <w:r>
              <w:rPr/>
              <w:t xml:space="preserve">Total </w:t>
            </w:r>
          </w:p>
        </w:tc>
        <w:tc>
          <w:tcPr>
            <w:tcW w:w="601" w:type="dxa"/>
            <w:tcBorders/>
            <w:vAlign w:val="center"/>
          </w:tcPr>
          <w:p>
            <w:pPr>
              <w:pStyle w:val="TableContents"/>
              <w:bidi w:val="0"/>
              <w:spacing w:before="0" w:after="283"/>
              <w:jc w:val="start"/>
              <w:rPr/>
            </w:pPr>
            <w:r>
              <w:rPr/>
              <w:t xml:space="preserve">186 </w:t>
            </w:r>
          </w:p>
        </w:tc>
        <w:tc>
          <w:tcPr>
            <w:tcW w:w="1141" w:type="dxa"/>
            <w:tcBorders/>
            <w:vAlign w:val="center"/>
          </w:tcPr>
          <w:p>
            <w:pPr>
              <w:pStyle w:val="TableContents"/>
              <w:bidi w:val="0"/>
              <w:spacing w:before="0" w:after="283"/>
              <w:jc w:val="start"/>
              <w:rPr>
                <w:sz w:val="4"/>
                <w:szCs w:val="4"/>
              </w:rPr>
            </w:pPr>
            <w:r>
              <w:rPr>
                <w:sz w:val="4"/>
                <w:szCs w:val="4"/>
              </w:rPr>
            </w:r>
          </w:p>
        </w:tc>
        <w:tc>
          <w:tcPr>
            <w:tcW w:w="841" w:type="dxa"/>
            <w:tcBorders/>
            <w:vAlign w:val="center"/>
          </w:tcPr>
          <w:p>
            <w:pPr>
              <w:pStyle w:val="TableContents"/>
              <w:bidi w:val="0"/>
              <w:spacing w:before="0" w:after="283"/>
              <w:jc w:val="start"/>
              <w:rPr/>
            </w:pPr>
            <w:r>
              <w:rPr/>
              <w:t xml:space="preserve">140 </w:t>
            </w:r>
          </w:p>
        </w:tc>
        <w:tc>
          <w:tcPr>
            <w:tcW w:w="901" w:type="dxa"/>
            <w:tcBorders/>
            <w:vAlign w:val="center"/>
          </w:tcPr>
          <w:p>
            <w:pPr>
              <w:pStyle w:val="TableContents"/>
              <w:bidi w:val="0"/>
              <w:spacing w:before="0" w:after="283"/>
              <w:jc w:val="start"/>
              <w:rPr/>
            </w:pPr>
            <w:r>
              <w:rPr/>
              <w:t xml:space="preserve">12 </w:t>
            </w:r>
          </w:p>
        </w:tc>
        <w:tc>
          <w:tcPr>
            <w:tcW w:w="856" w:type="dxa"/>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3: Univariate analysis of characteristic of patients </w:t>
      </w:r>
    </w:p>
    <w:tbl>
      <w:tblPr>
        <w:tblW w:w="5421" w:type="dxa"/>
        <w:jc w:val="start"/>
        <w:tblInd w:w="0" w:type="dxa"/>
        <w:tblLayout w:type="fixed"/>
        <w:tblCellMar>
          <w:top w:w="28" w:type="dxa"/>
          <w:start w:w="28" w:type="dxa"/>
          <w:bottom w:w="28" w:type="dxa"/>
          <w:end w:w="28" w:type="dxa"/>
        </w:tblCellMar>
      </w:tblPr>
      <w:tblGrid>
        <w:gridCol w:w="1825"/>
        <w:gridCol w:w="840"/>
        <w:gridCol w:w="1140"/>
        <w:gridCol w:w="1084"/>
        <w:gridCol w:w="532"/>
      </w:tblGrid>
      <w:tr>
        <w:trPr/>
        <w:tc>
          <w:tcPr>
            <w:tcW w:w="1825" w:type="dxa"/>
            <w:tcBorders/>
            <w:vAlign w:val="center"/>
          </w:tcPr>
          <w:p>
            <w:pPr>
              <w:pStyle w:val="TableContents"/>
              <w:bidi w:val="0"/>
              <w:spacing w:before="0" w:after="283"/>
              <w:jc w:val="start"/>
              <w:rPr/>
            </w:pPr>
            <w:r>
              <w:rPr/>
              <w:t xml:space="preserve">Variables </w:t>
            </w:r>
          </w:p>
        </w:tc>
        <w:tc>
          <w:tcPr>
            <w:tcW w:w="840" w:type="dxa"/>
            <w:tcBorders/>
            <w:vAlign w:val="center"/>
          </w:tcPr>
          <w:p>
            <w:pPr>
              <w:pStyle w:val="TableContents"/>
              <w:bidi w:val="0"/>
              <w:spacing w:before="0" w:after="283"/>
              <w:jc w:val="start"/>
              <w:rPr/>
            </w:pPr>
            <w:r>
              <w:rPr/>
              <w:t xml:space="preserve">number </w:t>
            </w:r>
          </w:p>
        </w:tc>
        <w:tc>
          <w:tcPr>
            <w:tcW w:w="1140" w:type="dxa"/>
            <w:tcBorders/>
            <w:vAlign w:val="center"/>
          </w:tcPr>
          <w:p>
            <w:pPr>
              <w:pStyle w:val="TableContents"/>
              <w:bidi w:val="0"/>
              <w:spacing w:before="0" w:after="283"/>
              <w:jc w:val="start"/>
              <w:rPr/>
            </w:pPr>
            <w:r>
              <w:rPr/>
              <w:t xml:space="preserve">percentage </w:t>
            </w:r>
          </w:p>
        </w:tc>
        <w:tc>
          <w:tcPr>
            <w:tcW w:w="1084" w:type="dxa"/>
            <w:tcBorders/>
            <w:vAlign w:val="center"/>
          </w:tcPr>
          <w:p>
            <w:pPr>
              <w:pStyle w:val="TableContents"/>
              <w:bidi w:val="0"/>
              <w:jc w:val="start"/>
              <w:rPr/>
            </w:pPr>
            <w:r>
              <w:rPr/>
              <w:t xml:space="preserve">Overall survival </w:t>
            </w:r>
          </w:p>
          <w:p>
            <w:pPr>
              <w:pStyle w:val="TableContents"/>
              <w:bidi w:val="0"/>
              <w:jc w:val="start"/>
              <w:rPr/>
            </w:pPr>
            <w:r>
              <w:rPr/>
              <w:t>≥</w:t>
            </w:r>
            <w:r>
              <w:rPr/>
              <w:t xml:space="preserve">1 year </w:t>
            </w:r>
          </w:p>
          <w:p>
            <w:pPr>
              <w:pStyle w:val="TableContents"/>
              <w:bidi w:val="0"/>
              <w:spacing w:before="0" w:after="283"/>
              <w:jc w:val="start"/>
              <w:rPr/>
            </w:pPr>
            <w:r>
              <w:rPr/>
              <w:t xml:space="preserve">No of patient (%) </w:t>
            </w:r>
          </w:p>
        </w:tc>
        <w:tc>
          <w:tcPr>
            <w:tcW w:w="532" w:type="dxa"/>
            <w:tcBorders/>
            <w:vAlign w:val="center"/>
          </w:tcPr>
          <w:p>
            <w:pPr>
              <w:pStyle w:val="TableContents"/>
              <w:bidi w:val="0"/>
              <w:spacing w:before="0" w:after="283"/>
              <w:jc w:val="start"/>
              <w:rPr/>
            </w:pPr>
            <w:r>
              <w:rPr/>
              <w:t xml:space="preserve">p- value </w:t>
            </w:r>
          </w:p>
        </w:tc>
      </w:tr>
      <w:tr>
        <w:trPr/>
        <w:tc>
          <w:tcPr>
            <w:tcW w:w="1825" w:type="dxa"/>
            <w:tcBorders/>
            <w:vAlign w:val="center"/>
          </w:tcPr>
          <w:p>
            <w:pPr>
              <w:pStyle w:val="TableContents"/>
              <w:bidi w:val="0"/>
              <w:spacing w:before="0" w:after="283"/>
              <w:jc w:val="start"/>
              <w:rPr/>
            </w:pPr>
            <w:r>
              <w:rPr/>
              <w:t xml:space="preserve">Total patients </w:t>
            </w:r>
          </w:p>
        </w:tc>
        <w:tc>
          <w:tcPr>
            <w:tcW w:w="840" w:type="dxa"/>
            <w:tcBorders/>
            <w:vAlign w:val="center"/>
          </w:tcPr>
          <w:p>
            <w:pPr>
              <w:pStyle w:val="TableContents"/>
              <w:bidi w:val="0"/>
              <w:spacing w:before="0" w:after="283"/>
              <w:jc w:val="start"/>
              <w:rPr/>
            </w:pPr>
            <w:r>
              <w:rPr/>
              <w:t xml:space="preserve">140 </w:t>
            </w:r>
          </w:p>
        </w:tc>
        <w:tc>
          <w:tcPr>
            <w:tcW w:w="1140" w:type="dxa"/>
            <w:tcBorders/>
            <w:vAlign w:val="center"/>
          </w:tcPr>
          <w:p>
            <w:pPr>
              <w:pStyle w:val="TableContents"/>
              <w:bidi w:val="0"/>
              <w:spacing w:before="0" w:after="283"/>
              <w:jc w:val="start"/>
              <w:rPr/>
            </w:pPr>
            <w:r>
              <w:rPr/>
              <w:t xml:space="preserve">100 </w:t>
            </w:r>
          </w:p>
        </w:tc>
        <w:tc>
          <w:tcPr>
            <w:tcW w:w="1084" w:type="dxa"/>
            <w:tcBorders/>
            <w:vAlign w:val="center"/>
          </w:tcPr>
          <w:p>
            <w:pPr>
              <w:pStyle w:val="TableContents"/>
              <w:bidi w:val="0"/>
              <w:spacing w:before="0" w:after="283"/>
              <w:jc w:val="start"/>
              <w:rPr/>
            </w:pPr>
            <w:r>
              <w:rPr/>
              <w:t xml:space="preserve">12(8. 57) </w:t>
            </w:r>
          </w:p>
        </w:tc>
        <w:tc>
          <w:tcPr>
            <w:tcW w:w="532" w:type="dxa"/>
            <w:tcBorders/>
            <w:vAlign w:val="center"/>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Sex </w:t>
            </w:r>
          </w:p>
        </w:tc>
        <w:tc>
          <w:tcPr>
            <w:tcW w:w="840" w:type="dxa"/>
            <w:tcBorders/>
            <w:vAlign w:val="center"/>
          </w:tcPr>
          <w:p>
            <w:pPr>
              <w:pStyle w:val="TableContents"/>
              <w:bidi w:val="0"/>
              <w:spacing w:before="0" w:after="283"/>
              <w:jc w:val="start"/>
              <w:rPr>
                <w:sz w:val="4"/>
                <w:szCs w:val="4"/>
              </w:rPr>
            </w:pPr>
            <w:r>
              <w:rPr>
                <w:sz w:val="4"/>
                <w:szCs w:val="4"/>
              </w:rPr>
            </w:r>
          </w:p>
        </w:tc>
        <w:tc>
          <w:tcPr>
            <w:tcW w:w="2756" w:type="dxa"/>
            <w:gridSpan w:val="3"/>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Male </w:t>
            </w:r>
          </w:p>
        </w:tc>
        <w:tc>
          <w:tcPr>
            <w:tcW w:w="840" w:type="dxa"/>
            <w:tcBorders/>
            <w:vAlign w:val="center"/>
          </w:tcPr>
          <w:p>
            <w:pPr>
              <w:pStyle w:val="TableContents"/>
              <w:bidi w:val="0"/>
              <w:spacing w:before="0" w:after="283"/>
              <w:jc w:val="start"/>
              <w:rPr/>
            </w:pPr>
            <w:r>
              <w:rPr/>
              <w:t xml:space="preserve">80 </w:t>
            </w:r>
          </w:p>
        </w:tc>
        <w:tc>
          <w:tcPr>
            <w:tcW w:w="1140" w:type="dxa"/>
            <w:tcBorders/>
            <w:vAlign w:val="center"/>
          </w:tcPr>
          <w:p>
            <w:pPr>
              <w:pStyle w:val="TableContents"/>
              <w:bidi w:val="0"/>
              <w:spacing w:before="0" w:after="283"/>
              <w:jc w:val="start"/>
              <w:rPr/>
            </w:pPr>
            <w:r>
              <w:rPr/>
              <w:t xml:space="preserve">57. 14 </w:t>
            </w:r>
          </w:p>
        </w:tc>
        <w:tc>
          <w:tcPr>
            <w:tcW w:w="1084" w:type="dxa"/>
            <w:tcBorders/>
            <w:vAlign w:val="center"/>
          </w:tcPr>
          <w:p>
            <w:pPr>
              <w:pStyle w:val="TableContents"/>
              <w:bidi w:val="0"/>
              <w:spacing w:before="0" w:after="283"/>
              <w:jc w:val="start"/>
              <w:rPr/>
            </w:pPr>
            <w:r>
              <w:rPr/>
              <w:t xml:space="preserve">5(3. 57) </w:t>
            </w:r>
          </w:p>
        </w:tc>
        <w:tc>
          <w:tcPr>
            <w:tcW w:w="532" w:type="dxa"/>
            <w:tcBorders/>
            <w:vAlign w:val="center"/>
          </w:tcPr>
          <w:p>
            <w:pPr>
              <w:pStyle w:val="TableContents"/>
              <w:bidi w:val="0"/>
              <w:spacing w:before="0" w:after="283"/>
              <w:jc w:val="start"/>
              <w:rPr/>
            </w:pPr>
            <w:r>
              <w:rPr/>
              <w:t xml:space="preserve">0. 12 </w:t>
            </w:r>
          </w:p>
        </w:tc>
      </w:tr>
      <w:tr>
        <w:trPr/>
        <w:tc>
          <w:tcPr>
            <w:tcW w:w="1825" w:type="dxa"/>
            <w:tcBorders/>
            <w:vAlign w:val="center"/>
          </w:tcPr>
          <w:p>
            <w:pPr>
              <w:pStyle w:val="TableContents"/>
              <w:bidi w:val="0"/>
              <w:spacing w:before="0" w:after="283"/>
              <w:jc w:val="start"/>
              <w:rPr/>
            </w:pPr>
            <w:r>
              <w:rPr/>
              <w:t xml:space="preserve">Female </w:t>
            </w:r>
          </w:p>
        </w:tc>
        <w:tc>
          <w:tcPr>
            <w:tcW w:w="840" w:type="dxa"/>
            <w:tcBorders/>
            <w:vAlign w:val="center"/>
          </w:tcPr>
          <w:p>
            <w:pPr>
              <w:pStyle w:val="TableContents"/>
              <w:bidi w:val="0"/>
              <w:spacing w:before="0" w:after="283"/>
              <w:jc w:val="start"/>
              <w:rPr/>
            </w:pPr>
            <w:r>
              <w:rPr/>
              <w:t xml:space="preserve">60 </w:t>
            </w:r>
          </w:p>
        </w:tc>
        <w:tc>
          <w:tcPr>
            <w:tcW w:w="1140" w:type="dxa"/>
            <w:tcBorders/>
            <w:vAlign w:val="center"/>
          </w:tcPr>
          <w:p>
            <w:pPr>
              <w:pStyle w:val="TableContents"/>
              <w:bidi w:val="0"/>
              <w:spacing w:before="0" w:after="283"/>
              <w:jc w:val="start"/>
              <w:rPr/>
            </w:pPr>
            <w:r>
              <w:rPr/>
              <w:t xml:space="preserve">42. 86 </w:t>
            </w:r>
          </w:p>
        </w:tc>
        <w:tc>
          <w:tcPr>
            <w:tcW w:w="1084" w:type="dxa"/>
            <w:tcBorders/>
            <w:vAlign w:val="center"/>
          </w:tcPr>
          <w:p>
            <w:pPr>
              <w:pStyle w:val="TableContents"/>
              <w:bidi w:val="0"/>
              <w:spacing w:before="0" w:after="283"/>
              <w:jc w:val="start"/>
              <w:rPr/>
            </w:pPr>
            <w:r>
              <w:rPr/>
              <w:t xml:space="preserve">7(5. 0)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Age </w:t>
            </w:r>
          </w:p>
        </w:tc>
        <w:tc>
          <w:tcPr>
            <w:tcW w:w="840" w:type="dxa"/>
            <w:tcBorders/>
            <w:vAlign w:val="center"/>
          </w:tcPr>
          <w:p>
            <w:pPr>
              <w:pStyle w:val="TableContents"/>
              <w:bidi w:val="0"/>
              <w:spacing w:before="0" w:after="283"/>
              <w:jc w:val="start"/>
              <w:rPr/>
            </w:pPr>
            <w:r>
              <w:rPr/>
              <w:t xml:space="preserve">0. 31 </w:t>
            </w:r>
          </w:p>
        </w:tc>
        <w:tc>
          <w:tcPr>
            <w:tcW w:w="2756" w:type="dxa"/>
            <w:gridSpan w:val="3"/>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&lt;65 years </w:t>
            </w:r>
          </w:p>
        </w:tc>
        <w:tc>
          <w:tcPr>
            <w:tcW w:w="840" w:type="dxa"/>
            <w:tcBorders/>
            <w:vAlign w:val="center"/>
          </w:tcPr>
          <w:p>
            <w:pPr>
              <w:pStyle w:val="TableContents"/>
              <w:bidi w:val="0"/>
              <w:spacing w:before="0" w:after="283"/>
              <w:jc w:val="start"/>
              <w:rPr/>
            </w:pPr>
            <w:r>
              <w:rPr/>
              <w:t xml:space="preserve">109 </w:t>
            </w:r>
          </w:p>
        </w:tc>
        <w:tc>
          <w:tcPr>
            <w:tcW w:w="1140" w:type="dxa"/>
            <w:tcBorders/>
            <w:vAlign w:val="center"/>
          </w:tcPr>
          <w:p>
            <w:pPr>
              <w:pStyle w:val="TableContents"/>
              <w:bidi w:val="0"/>
              <w:spacing w:before="0" w:after="283"/>
              <w:jc w:val="start"/>
              <w:rPr/>
            </w:pPr>
            <w:r>
              <w:rPr/>
              <w:t xml:space="preserve">77. 85 </w:t>
            </w:r>
          </w:p>
        </w:tc>
        <w:tc>
          <w:tcPr>
            <w:tcW w:w="1084" w:type="dxa"/>
            <w:tcBorders/>
            <w:vAlign w:val="center"/>
          </w:tcPr>
          <w:p>
            <w:pPr>
              <w:pStyle w:val="TableContents"/>
              <w:bidi w:val="0"/>
              <w:spacing w:before="0" w:after="283"/>
              <w:jc w:val="start"/>
              <w:rPr/>
            </w:pPr>
            <w:r>
              <w:rPr/>
              <w:t xml:space="preserve">10(7. 14)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&gt; 65 year </w:t>
            </w:r>
          </w:p>
        </w:tc>
        <w:tc>
          <w:tcPr>
            <w:tcW w:w="840" w:type="dxa"/>
            <w:tcBorders/>
            <w:vAlign w:val="center"/>
          </w:tcPr>
          <w:p>
            <w:pPr>
              <w:pStyle w:val="TableContents"/>
              <w:bidi w:val="0"/>
              <w:spacing w:before="0" w:after="283"/>
              <w:jc w:val="start"/>
              <w:rPr/>
            </w:pPr>
            <w:r>
              <w:rPr/>
              <w:t xml:space="preserve">31 </w:t>
            </w:r>
          </w:p>
        </w:tc>
        <w:tc>
          <w:tcPr>
            <w:tcW w:w="1140" w:type="dxa"/>
            <w:tcBorders/>
            <w:vAlign w:val="center"/>
          </w:tcPr>
          <w:p>
            <w:pPr>
              <w:pStyle w:val="TableContents"/>
              <w:bidi w:val="0"/>
              <w:spacing w:before="0" w:after="283"/>
              <w:jc w:val="start"/>
              <w:rPr/>
            </w:pPr>
            <w:r>
              <w:rPr/>
              <w:t xml:space="preserve">22. 15 </w:t>
            </w:r>
          </w:p>
        </w:tc>
        <w:tc>
          <w:tcPr>
            <w:tcW w:w="1084" w:type="dxa"/>
            <w:tcBorders/>
            <w:vAlign w:val="center"/>
          </w:tcPr>
          <w:p>
            <w:pPr>
              <w:pStyle w:val="TableContents"/>
              <w:bidi w:val="0"/>
              <w:spacing w:before="0" w:after="283"/>
              <w:jc w:val="start"/>
              <w:rPr/>
            </w:pPr>
            <w:r>
              <w:rPr/>
              <w:t xml:space="preserve">2(1. 43)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ECOG Performance Status </w:t>
            </w:r>
          </w:p>
        </w:tc>
        <w:tc>
          <w:tcPr>
            <w:tcW w:w="840" w:type="dxa"/>
            <w:tcBorders/>
            <w:vAlign w:val="center"/>
          </w:tcPr>
          <w:p>
            <w:pPr>
              <w:pStyle w:val="TableContents"/>
              <w:bidi w:val="0"/>
              <w:spacing w:before="0" w:after="283"/>
              <w:jc w:val="start"/>
              <w:rPr/>
            </w:pPr>
            <w:r>
              <w:rPr/>
              <w:t xml:space="preserve">0. 21 </w:t>
            </w:r>
          </w:p>
        </w:tc>
        <w:tc>
          <w:tcPr>
            <w:tcW w:w="2756" w:type="dxa"/>
            <w:gridSpan w:val="3"/>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1-2 </w:t>
            </w:r>
          </w:p>
        </w:tc>
        <w:tc>
          <w:tcPr>
            <w:tcW w:w="840" w:type="dxa"/>
            <w:tcBorders/>
            <w:vAlign w:val="center"/>
          </w:tcPr>
          <w:p>
            <w:pPr>
              <w:pStyle w:val="TableContents"/>
              <w:bidi w:val="0"/>
              <w:spacing w:before="0" w:after="283"/>
              <w:jc w:val="start"/>
              <w:rPr/>
            </w:pPr>
            <w:r>
              <w:rPr/>
              <w:t xml:space="preserve">118 </w:t>
            </w:r>
          </w:p>
        </w:tc>
        <w:tc>
          <w:tcPr>
            <w:tcW w:w="1140" w:type="dxa"/>
            <w:tcBorders/>
            <w:vAlign w:val="center"/>
          </w:tcPr>
          <w:p>
            <w:pPr>
              <w:pStyle w:val="TableContents"/>
              <w:bidi w:val="0"/>
              <w:spacing w:before="0" w:after="283"/>
              <w:jc w:val="start"/>
              <w:rPr/>
            </w:pPr>
            <w:r>
              <w:rPr/>
              <w:t xml:space="preserve">84. 28 </w:t>
            </w:r>
          </w:p>
        </w:tc>
        <w:tc>
          <w:tcPr>
            <w:tcW w:w="1084" w:type="dxa"/>
            <w:tcBorders/>
            <w:vAlign w:val="center"/>
          </w:tcPr>
          <w:p>
            <w:pPr>
              <w:pStyle w:val="TableContents"/>
              <w:bidi w:val="0"/>
              <w:spacing w:before="0" w:after="283"/>
              <w:jc w:val="start"/>
              <w:rPr/>
            </w:pPr>
            <w:r>
              <w:rPr/>
              <w:t xml:space="preserve">11(7. 85)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3-4 </w:t>
            </w:r>
          </w:p>
        </w:tc>
        <w:tc>
          <w:tcPr>
            <w:tcW w:w="840" w:type="dxa"/>
            <w:tcBorders/>
            <w:vAlign w:val="center"/>
          </w:tcPr>
          <w:p>
            <w:pPr>
              <w:pStyle w:val="TableContents"/>
              <w:bidi w:val="0"/>
              <w:spacing w:before="0" w:after="283"/>
              <w:jc w:val="start"/>
              <w:rPr/>
            </w:pPr>
            <w:r>
              <w:rPr/>
              <w:t xml:space="preserve">22 </w:t>
            </w:r>
          </w:p>
        </w:tc>
        <w:tc>
          <w:tcPr>
            <w:tcW w:w="1140" w:type="dxa"/>
            <w:tcBorders/>
            <w:vAlign w:val="center"/>
          </w:tcPr>
          <w:p>
            <w:pPr>
              <w:pStyle w:val="TableContents"/>
              <w:bidi w:val="0"/>
              <w:spacing w:before="0" w:after="283"/>
              <w:jc w:val="start"/>
              <w:rPr/>
            </w:pPr>
            <w:r>
              <w:rPr/>
              <w:t xml:space="preserve">15. 72 </w:t>
            </w:r>
          </w:p>
        </w:tc>
        <w:tc>
          <w:tcPr>
            <w:tcW w:w="1084" w:type="dxa"/>
            <w:tcBorders/>
            <w:vAlign w:val="center"/>
          </w:tcPr>
          <w:p>
            <w:pPr>
              <w:pStyle w:val="TableContents"/>
              <w:bidi w:val="0"/>
              <w:spacing w:before="0" w:after="283"/>
              <w:jc w:val="start"/>
              <w:rPr/>
            </w:pPr>
            <w:r>
              <w:rPr/>
              <w:t xml:space="preserve">1(0. 72)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Number of lesions </w:t>
            </w:r>
          </w:p>
        </w:tc>
        <w:tc>
          <w:tcPr>
            <w:tcW w:w="840" w:type="dxa"/>
            <w:tcBorders/>
            <w:vAlign w:val="center"/>
          </w:tcPr>
          <w:p>
            <w:pPr>
              <w:pStyle w:val="TableContents"/>
              <w:bidi w:val="0"/>
              <w:spacing w:before="0" w:after="283"/>
              <w:jc w:val="start"/>
              <w:rPr/>
            </w:pPr>
            <w:r>
              <w:rPr/>
              <w:t xml:space="preserve">0. 0003 </w:t>
            </w:r>
          </w:p>
        </w:tc>
        <w:tc>
          <w:tcPr>
            <w:tcW w:w="2756" w:type="dxa"/>
            <w:gridSpan w:val="3"/>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Single </w:t>
            </w:r>
          </w:p>
        </w:tc>
        <w:tc>
          <w:tcPr>
            <w:tcW w:w="840" w:type="dxa"/>
            <w:tcBorders/>
            <w:vAlign w:val="center"/>
          </w:tcPr>
          <w:p>
            <w:pPr>
              <w:pStyle w:val="TableContents"/>
              <w:bidi w:val="0"/>
              <w:spacing w:before="0" w:after="283"/>
              <w:jc w:val="start"/>
              <w:rPr/>
            </w:pPr>
            <w:r>
              <w:rPr/>
              <w:t xml:space="preserve">22 </w:t>
            </w:r>
          </w:p>
        </w:tc>
        <w:tc>
          <w:tcPr>
            <w:tcW w:w="1140" w:type="dxa"/>
            <w:tcBorders/>
            <w:vAlign w:val="center"/>
          </w:tcPr>
          <w:p>
            <w:pPr>
              <w:pStyle w:val="TableContents"/>
              <w:bidi w:val="0"/>
              <w:spacing w:before="0" w:after="283"/>
              <w:jc w:val="start"/>
              <w:rPr/>
            </w:pPr>
            <w:r>
              <w:rPr/>
              <w:t xml:space="preserve">15. 71 </w:t>
            </w:r>
          </w:p>
        </w:tc>
        <w:tc>
          <w:tcPr>
            <w:tcW w:w="1084" w:type="dxa"/>
            <w:tcBorders/>
            <w:vAlign w:val="center"/>
          </w:tcPr>
          <w:p>
            <w:pPr>
              <w:pStyle w:val="TableContents"/>
              <w:bidi w:val="0"/>
              <w:spacing w:before="0" w:after="283"/>
              <w:jc w:val="start"/>
              <w:rPr/>
            </w:pPr>
            <w:r>
              <w:rPr/>
              <w:t xml:space="preserve">6(4. 27)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Multiple </w:t>
            </w:r>
          </w:p>
        </w:tc>
        <w:tc>
          <w:tcPr>
            <w:tcW w:w="840" w:type="dxa"/>
            <w:tcBorders/>
            <w:vAlign w:val="center"/>
          </w:tcPr>
          <w:p>
            <w:pPr>
              <w:pStyle w:val="TableContents"/>
              <w:bidi w:val="0"/>
              <w:spacing w:before="0" w:after="283"/>
              <w:jc w:val="start"/>
              <w:rPr/>
            </w:pPr>
            <w:r>
              <w:rPr/>
              <w:t xml:space="preserve">118 </w:t>
            </w:r>
          </w:p>
        </w:tc>
        <w:tc>
          <w:tcPr>
            <w:tcW w:w="1140" w:type="dxa"/>
            <w:tcBorders/>
            <w:vAlign w:val="center"/>
          </w:tcPr>
          <w:p>
            <w:pPr>
              <w:pStyle w:val="TableContents"/>
              <w:bidi w:val="0"/>
              <w:spacing w:before="0" w:after="283"/>
              <w:jc w:val="start"/>
              <w:rPr/>
            </w:pPr>
            <w:r>
              <w:rPr/>
              <w:t xml:space="preserve">84. 29 </w:t>
            </w:r>
          </w:p>
        </w:tc>
        <w:tc>
          <w:tcPr>
            <w:tcW w:w="1084" w:type="dxa"/>
            <w:tcBorders/>
            <w:vAlign w:val="center"/>
          </w:tcPr>
          <w:p>
            <w:pPr>
              <w:pStyle w:val="TableContents"/>
              <w:bidi w:val="0"/>
              <w:spacing w:before="0" w:after="283"/>
              <w:jc w:val="start"/>
              <w:rPr/>
            </w:pPr>
            <w:r>
              <w:rPr/>
              <w:t xml:space="preserve">6(4. 27)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Primary tumor </w:t>
            </w:r>
          </w:p>
        </w:tc>
        <w:tc>
          <w:tcPr>
            <w:tcW w:w="840" w:type="dxa"/>
            <w:tcBorders/>
            <w:vAlign w:val="center"/>
          </w:tcPr>
          <w:p>
            <w:pPr>
              <w:pStyle w:val="TableContents"/>
              <w:bidi w:val="0"/>
              <w:spacing w:before="0" w:after="283"/>
              <w:jc w:val="start"/>
              <w:rPr/>
            </w:pPr>
            <w:r>
              <w:rPr/>
              <w:t xml:space="preserve">0. 14 </w:t>
            </w:r>
          </w:p>
        </w:tc>
        <w:tc>
          <w:tcPr>
            <w:tcW w:w="2756" w:type="dxa"/>
            <w:gridSpan w:val="3"/>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Controlled </w:t>
            </w:r>
          </w:p>
        </w:tc>
        <w:tc>
          <w:tcPr>
            <w:tcW w:w="840" w:type="dxa"/>
            <w:tcBorders/>
            <w:vAlign w:val="center"/>
          </w:tcPr>
          <w:p>
            <w:pPr>
              <w:pStyle w:val="TableContents"/>
              <w:bidi w:val="0"/>
              <w:spacing w:before="0" w:after="283"/>
              <w:jc w:val="start"/>
              <w:rPr/>
            </w:pPr>
            <w:r>
              <w:rPr/>
              <w:t xml:space="preserve">61 </w:t>
            </w:r>
          </w:p>
        </w:tc>
        <w:tc>
          <w:tcPr>
            <w:tcW w:w="1140" w:type="dxa"/>
            <w:tcBorders/>
            <w:vAlign w:val="center"/>
          </w:tcPr>
          <w:p>
            <w:pPr>
              <w:pStyle w:val="TableContents"/>
              <w:bidi w:val="0"/>
              <w:spacing w:before="0" w:after="283"/>
              <w:jc w:val="start"/>
              <w:rPr/>
            </w:pPr>
            <w:r>
              <w:rPr/>
              <w:t xml:space="preserve">43. 57 </w:t>
            </w:r>
          </w:p>
        </w:tc>
        <w:tc>
          <w:tcPr>
            <w:tcW w:w="1084" w:type="dxa"/>
            <w:tcBorders/>
            <w:vAlign w:val="center"/>
          </w:tcPr>
          <w:p>
            <w:pPr>
              <w:pStyle w:val="TableContents"/>
              <w:bidi w:val="0"/>
              <w:spacing w:before="0" w:after="283"/>
              <w:jc w:val="start"/>
              <w:rPr/>
            </w:pPr>
            <w:r>
              <w:rPr/>
              <w:t xml:space="preserve">7(5. 0)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Uncontrolled </w:t>
            </w:r>
          </w:p>
        </w:tc>
        <w:tc>
          <w:tcPr>
            <w:tcW w:w="840" w:type="dxa"/>
            <w:tcBorders/>
            <w:vAlign w:val="center"/>
          </w:tcPr>
          <w:p>
            <w:pPr>
              <w:pStyle w:val="TableContents"/>
              <w:bidi w:val="0"/>
              <w:spacing w:before="0" w:after="283"/>
              <w:jc w:val="start"/>
              <w:rPr/>
            </w:pPr>
            <w:r>
              <w:rPr/>
              <w:t xml:space="preserve">79 </w:t>
            </w:r>
          </w:p>
        </w:tc>
        <w:tc>
          <w:tcPr>
            <w:tcW w:w="1140" w:type="dxa"/>
            <w:tcBorders/>
            <w:vAlign w:val="center"/>
          </w:tcPr>
          <w:p>
            <w:pPr>
              <w:pStyle w:val="TableContents"/>
              <w:bidi w:val="0"/>
              <w:spacing w:before="0" w:after="283"/>
              <w:jc w:val="start"/>
              <w:rPr/>
            </w:pPr>
            <w:r>
              <w:rPr/>
              <w:t xml:space="preserve">56. 43 </w:t>
            </w:r>
          </w:p>
        </w:tc>
        <w:tc>
          <w:tcPr>
            <w:tcW w:w="1084" w:type="dxa"/>
            <w:tcBorders/>
            <w:vAlign w:val="center"/>
          </w:tcPr>
          <w:p>
            <w:pPr>
              <w:pStyle w:val="TableContents"/>
              <w:bidi w:val="0"/>
              <w:spacing w:before="0" w:after="283"/>
              <w:jc w:val="start"/>
              <w:rPr/>
            </w:pPr>
            <w:r>
              <w:rPr/>
              <w:t xml:space="preserve">5(3. 57)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Extra cranial metastases </w:t>
            </w:r>
          </w:p>
        </w:tc>
        <w:tc>
          <w:tcPr>
            <w:tcW w:w="840" w:type="dxa"/>
            <w:tcBorders/>
            <w:vAlign w:val="center"/>
          </w:tcPr>
          <w:p>
            <w:pPr>
              <w:pStyle w:val="TableContents"/>
              <w:bidi w:val="0"/>
              <w:spacing w:before="0" w:after="283"/>
              <w:jc w:val="start"/>
              <w:rPr/>
            </w:pPr>
            <w:r>
              <w:rPr/>
              <w:t xml:space="preserve">0. 22 </w:t>
            </w:r>
          </w:p>
        </w:tc>
        <w:tc>
          <w:tcPr>
            <w:tcW w:w="2756" w:type="dxa"/>
            <w:gridSpan w:val="3"/>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Yes </w:t>
            </w:r>
          </w:p>
        </w:tc>
        <w:tc>
          <w:tcPr>
            <w:tcW w:w="840" w:type="dxa"/>
            <w:tcBorders/>
            <w:vAlign w:val="center"/>
          </w:tcPr>
          <w:p>
            <w:pPr>
              <w:pStyle w:val="TableContents"/>
              <w:bidi w:val="0"/>
              <w:spacing w:before="0" w:after="283"/>
              <w:jc w:val="start"/>
              <w:rPr/>
            </w:pPr>
            <w:r>
              <w:rPr/>
              <w:t xml:space="preserve">49 </w:t>
            </w:r>
          </w:p>
        </w:tc>
        <w:tc>
          <w:tcPr>
            <w:tcW w:w="1140" w:type="dxa"/>
            <w:tcBorders/>
            <w:vAlign w:val="center"/>
          </w:tcPr>
          <w:p>
            <w:pPr>
              <w:pStyle w:val="TableContents"/>
              <w:bidi w:val="0"/>
              <w:spacing w:before="0" w:after="283"/>
              <w:jc w:val="start"/>
              <w:rPr/>
            </w:pPr>
            <w:r>
              <w:rPr/>
              <w:t xml:space="preserve">35. 00 </w:t>
            </w:r>
          </w:p>
        </w:tc>
        <w:tc>
          <w:tcPr>
            <w:tcW w:w="1084" w:type="dxa"/>
            <w:tcBorders/>
            <w:vAlign w:val="center"/>
          </w:tcPr>
          <w:p>
            <w:pPr>
              <w:pStyle w:val="TableContents"/>
              <w:bidi w:val="0"/>
              <w:spacing w:before="0" w:after="283"/>
              <w:jc w:val="start"/>
              <w:rPr/>
            </w:pPr>
            <w:r>
              <w:rPr/>
              <w:t xml:space="preserve">3(2. 14)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No </w:t>
            </w:r>
          </w:p>
        </w:tc>
        <w:tc>
          <w:tcPr>
            <w:tcW w:w="840" w:type="dxa"/>
            <w:tcBorders/>
            <w:vAlign w:val="center"/>
          </w:tcPr>
          <w:p>
            <w:pPr>
              <w:pStyle w:val="TableContents"/>
              <w:bidi w:val="0"/>
              <w:spacing w:before="0" w:after="283"/>
              <w:jc w:val="start"/>
              <w:rPr/>
            </w:pPr>
            <w:r>
              <w:rPr/>
              <w:t xml:space="preserve">91 </w:t>
            </w:r>
          </w:p>
        </w:tc>
        <w:tc>
          <w:tcPr>
            <w:tcW w:w="1140" w:type="dxa"/>
            <w:tcBorders/>
            <w:vAlign w:val="center"/>
          </w:tcPr>
          <w:p>
            <w:pPr>
              <w:pStyle w:val="TableContents"/>
              <w:bidi w:val="0"/>
              <w:spacing w:before="0" w:after="283"/>
              <w:jc w:val="start"/>
              <w:rPr/>
            </w:pPr>
            <w:r>
              <w:rPr/>
              <w:t xml:space="preserve">65. 00 </w:t>
            </w:r>
          </w:p>
        </w:tc>
        <w:tc>
          <w:tcPr>
            <w:tcW w:w="1084" w:type="dxa"/>
            <w:tcBorders/>
            <w:vAlign w:val="center"/>
          </w:tcPr>
          <w:p>
            <w:pPr>
              <w:pStyle w:val="TableContents"/>
              <w:bidi w:val="0"/>
              <w:spacing w:before="0" w:after="283"/>
              <w:jc w:val="start"/>
              <w:rPr/>
            </w:pPr>
            <w:r>
              <w:rPr/>
              <w:t xml:space="preserve">9(6. 43)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Brain metastases &amp; primary </w:t>
            </w:r>
          </w:p>
        </w:tc>
        <w:tc>
          <w:tcPr>
            <w:tcW w:w="840" w:type="dxa"/>
            <w:tcBorders/>
            <w:vAlign w:val="center"/>
          </w:tcPr>
          <w:p>
            <w:pPr>
              <w:pStyle w:val="TableContents"/>
              <w:bidi w:val="0"/>
              <w:spacing w:before="0" w:after="283"/>
              <w:jc w:val="start"/>
              <w:rPr/>
            </w:pPr>
            <w:r>
              <w:rPr/>
              <w:t xml:space="preserve">0. 38 </w:t>
            </w:r>
          </w:p>
        </w:tc>
        <w:tc>
          <w:tcPr>
            <w:tcW w:w="2756" w:type="dxa"/>
            <w:gridSpan w:val="3"/>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Synchronous </w:t>
            </w:r>
          </w:p>
        </w:tc>
        <w:tc>
          <w:tcPr>
            <w:tcW w:w="840" w:type="dxa"/>
            <w:tcBorders/>
            <w:vAlign w:val="center"/>
          </w:tcPr>
          <w:p>
            <w:pPr>
              <w:pStyle w:val="TableContents"/>
              <w:bidi w:val="0"/>
              <w:spacing w:before="0" w:after="283"/>
              <w:jc w:val="start"/>
              <w:rPr/>
            </w:pPr>
            <w:r>
              <w:rPr/>
              <w:t xml:space="preserve">53 </w:t>
            </w:r>
          </w:p>
        </w:tc>
        <w:tc>
          <w:tcPr>
            <w:tcW w:w="1140" w:type="dxa"/>
            <w:tcBorders/>
            <w:vAlign w:val="center"/>
          </w:tcPr>
          <w:p>
            <w:pPr>
              <w:pStyle w:val="TableContents"/>
              <w:bidi w:val="0"/>
              <w:spacing w:before="0" w:after="283"/>
              <w:jc w:val="start"/>
              <w:rPr/>
            </w:pPr>
            <w:r>
              <w:rPr/>
              <w:t xml:space="preserve">37. 85 </w:t>
            </w:r>
          </w:p>
        </w:tc>
        <w:tc>
          <w:tcPr>
            <w:tcW w:w="1084" w:type="dxa"/>
            <w:tcBorders/>
            <w:vAlign w:val="center"/>
          </w:tcPr>
          <w:p>
            <w:pPr>
              <w:pStyle w:val="TableContents"/>
              <w:bidi w:val="0"/>
              <w:spacing w:before="0" w:after="283"/>
              <w:jc w:val="start"/>
              <w:rPr/>
            </w:pPr>
            <w:r>
              <w:rPr/>
              <w:t xml:space="preserve">5(3. 57)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Metachronous </w:t>
            </w:r>
          </w:p>
        </w:tc>
        <w:tc>
          <w:tcPr>
            <w:tcW w:w="840" w:type="dxa"/>
            <w:tcBorders/>
            <w:vAlign w:val="center"/>
          </w:tcPr>
          <w:p>
            <w:pPr>
              <w:pStyle w:val="TableContents"/>
              <w:bidi w:val="0"/>
              <w:spacing w:before="0" w:after="283"/>
              <w:jc w:val="start"/>
              <w:rPr/>
            </w:pPr>
            <w:r>
              <w:rPr/>
              <w:t xml:space="preserve">87 </w:t>
            </w:r>
          </w:p>
        </w:tc>
        <w:tc>
          <w:tcPr>
            <w:tcW w:w="1140" w:type="dxa"/>
            <w:tcBorders/>
            <w:vAlign w:val="center"/>
          </w:tcPr>
          <w:p>
            <w:pPr>
              <w:pStyle w:val="TableContents"/>
              <w:bidi w:val="0"/>
              <w:spacing w:before="0" w:after="283"/>
              <w:jc w:val="start"/>
              <w:rPr/>
            </w:pPr>
            <w:r>
              <w:rPr/>
              <w:t xml:space="preserve">62. 14 </w:t>
            </w:r>
          </w:p>
        </w:tc>
        <w:tc>
          <w:tcPr>
            <w:tcW w:w="1084" w:type="dxa"/>
            <w:tcBorders/>
            <w:vAlign w:val="center"/>
          </w:tcPr>
          <w:p>
            <w:pPr>
              <w:pStyle w:val="TableContents"/>
              <w:bidi w:val="0"/>
              <w:spacing w:before="0" w:after="283"/>
              <w:jc w:val="start"/>
              <w:rPr/>
            </w:pPr>
            <w:r>
              <w:rPr/>
              <w:t xml:space="preserve">7(5. 0)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Treatment of secondary brain </w:t>
            </w:r>
          </w:p>
        </w:tc>
        <w:tc>
          <w:tcPr>
            <w:tcW w:w="840" w:type="dxa"/>
            <w:tcBorders/>
            <w:vAlign w:val="center"/>
          </w:tcPr>
          <w:p>
            <w:pPr>
              <w:pStyle w:val="TableContents"/>
              <w:bidi w:val="0"/>
              <w:spacing w:before="0" w:after="283"/>
              <w:jc w:val="start"/>
              <w:rPr/>
            </w:pPr>
            <w:r>
              <w:rPr/>
              <w:t xml:space="preserve">0. 43 </w:t>
            </w:r>
          </w:p>
        </w:tc>
        <w:tc>
          <w:tcPr>
            <w:tcW w:w="2756" w:type="dxa"/>
            <w:gridSpan w:val="3"/>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RT alone </w:t>
            </w:r>
          </w:p>
        </w:tc>
        <w:tc>
          <w:tcPr>
            <w:tcW w:w="840" w:type="dxa"/>
            <w:tcBorders/>
            <w:vAlign w:val="center"/>
          </w:tcPr>
          <w:p>
            <w:pPr>
              <w:pStyle w:val="TableContents"/>
              <w:bidi w:val="0"/>
              <w:spacing w:before="0" w:after="283"/>
              <w:jc w:val="start"/>
              <w:rPr/>
            </w:pPr>
            <w:r>
              <w:rPr/>
              <w:t xml:space="preserve">119 </w:t>
            </w:r>
          </w:p>
        </w:tc>
        <w:tc>
          <w:tcPr>
            <w:tcW w:w="1140" w:type="dxa"/>
            <w:tcBorders/>
            <w:vAlign w:val="center"/>
          </w:tcPr>
          <w:p>
            <w:pPr>
              <w:pStyle w:val="TableContents"/>
              <w:bidi w:val="0"/>
              <w:spacing w:before="0" w:after="283"/>
              <w:jc w:val="start"/>
              <w:rPr/>
            </w:pPr>
            <w:r>
              <w:rPr/>
              <w:t xml:space="preserve">85. 00 </w:t>
            </w:r>
          </w:p>
        </w:tc>
        <w:tc>
          <w:tcPr>
            <w:tcW w:w="1084" w:type="dxa"/>
            <w:tcBorders/>
            <w:vAlign w:val="center"/>
          </w:tcPr>
          <w:p>
            <w:pPr>
              <w:pStyle w:val="TableContents"/>
              <w:bidi w:val="0"/>
              <w:spacing w:before="0" w:after="283"/>
              <w:jc w:val="start"/>
              <w:rPr/>
            </w:pPr>
            <w:r>
              <w:rPr/>
              <w:t xml:space="preserve">10(7. 14)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pPr>
            <w:r>
              <w:rPr/>
              <w:t xml:space="preserve">RT+CT </w:t>
            </w:r>
          </w:p>
        </w:tc>
        <w:tc>
          <w:tcPr>
            <w:tcW w:w="840" w:type="dxa"/>
            <w:tcBorders/>
            <w:vAlign w:val="center"/>
          </w:tcPr>
          <w:p>
            <w:pPr>
              <w:pStyle w:val="TableContents"/>
              <w:bidi w:val="0"/>
              <w:spacing w:before="0" w:after="283"/>
              <w:jc w:val="start"/>
              <w:rPr/>
            </w:pPr>
            <w:r>
              <w:rPr/>
              <w:t xml:space="preserve">21 </w:t>
            </w:r>
          </w:p>
        </w:tc>
        <w:tc>
          <w:tcPr>
            <w:tcW w:w="1140" w:type="dxa"/>
            <w:tcBorders/>
            <w:vAlign w:val="center"/>
          </w:tcPr>
          <w:p>
            <w:pPr>
              <w:pStyle w:val="TableContents"/>
              <w:bidi w:val="0"/>
              <w:spacing w:before="0" w:after="283"/>
              <w:jc w:val="start"/>
              <w:rPr/>
            </w:pPr>
            <w:r>
              <w:rPr/>
              <w:t xml:space="preserve">15. 00 </w:t>
            </w:r>
          </w:p>
        </w:tc>
        <w:tc>
          <w:tcPr>
            <w:tcW w:w="1084" w:type="dxa"/>
            <w:tcBorders/>
            <w:vAlign w:val="center"/>
          </w:tcPr>
          <w:p>
            <w:pPr>
              <w:pStyle w:val="TableContents"/>
              <w:bidi w:val="0"/>
              <w:spacing w:before="0" w:after="283"/>
              <w:jc w:val="start"/>
              <w:rPr/>
            </w:pPr>
            <w:r>
              <w:rPr/>
              <w:t xml:space="preserve">2(1. 43) </w:t>
            </w:r>
          </w:p>
        </w:tc>
        <w:tc>
          <w:tcPr>
            <w:tcW w:w="532" w:type="dxa"/>
            <w:tcBorders/>
          </w:tcPr>
          <w:p>
            <w:pPr>
              <w:pStyle w:val="TableContents"/>
              <w:bidi w:val="0"/>
              <w:spacing w:before="0" w:after="283"/>
              <w:jc w:val="start"/>
              <w:rPr>
                <w:sz w:val="4"/>
                <w:szCs w:val="4"/>
              </w:rPr>
            </w:pPr>
            <w:r>
              <w:rPr>
                <w:sz w:val="4"/>
                <w:szCs w:val="4"/>
              </w:rPr>
            </w:r>
          </w:p>
        </w:tc>
      </w:tr>
      <w:tr>
        <w:trPr/>
        <w:tc>
          <w:tcPr>
            <w:tcW w:w="1825" w:type="dxa"/>
            <w:tcBorders/>
            <w:vAlign w:val="center"/>
          </w:tcPr>
          <w:p>
            <w:pPr>
              <w:pStyle w:val="TableContents"/>
              <w:bidi w:val="0"/>
              <w:spacing w:before="0" w:after="283"/>
              <w:jc w:val="start"/>
              <w:rPr>
                <w:sz w:val="4"/>
                <w:szCs w:val="4"/>
              </w:rPr>
            </w:pPr>
            <w:r>
              <w:rPr>
                <w:sz w:val="4"/>
                <w:szCs w:val="4"/>
              </w:rPr>
            </w:r>
          </w:p>
        </w:tc>
        <w:tc>
          <w:tcPr>
            <w:tcW w:w="840" w:type="dxa"/>
            <w:tcBorders/>
            <w:vAlign w:val="center"/>
          </w:tcPr>
          <w:p>
            <w:pPr>
              <w:pStyle w:val="TableContents"/>
              <w:bidi w:val="0"/>
              <w:spacing w:before="0" w:after="283"/>
              <w:jc w:val="start"/>
              <w:rPr>
                <w:sz w:val="4"/>
                <w:szCs w:val="4"/>
              </w:rPr>
            </w:pPr>
            <w:r>
              <w:rPr>
                <w:sz w:val="4"/>
                <w:szCs w:val="4"/>
              </w:rPr>
            </w:r>
          </w:p>
        </w:tc>
        <w:tc>
          <w:tcPr>
            <w:tcW w:w="1140" w:type="dxa"/>
            <w:tcBorders/>
            <w:vAlign w:val="center"/>
          </w:tcPr>
          <w:p>
            <w:pPr>
              <w:pStyle w:val="TableContents"/>
              <w:bidi w:val="0"/>
              <w:spacing w:before="0" w:after="283"/>
              <w:jc w:val="start"/>
              <w:rPr>
                <w:sz w:val="4"/>
                <w:szCs w:val="4"/>
              </w:rPr>
            </w:pPr>
            <w:r>
              <w:rPr>
                <w:sz w:val="4"/>
                <w:szCs w:val="4"/>
              </w:rPr>
            </w:r>
          </w:p>
        </w:tc>
        <w:tc>
          <w:tcPr>
            <w:tcW w:w="1084" w:type="dxa"/>
            <w:tcBorders/>
            <w:vAlign w:val="center"/>
          </w:tcPr>
          <w:p>
            <w:pPr>
              <w:pStyle w:val="TableContents"/>
              <w:bidi w:val="0"/>
              <w:spacing w:before="0" w:after="283"/>
              <w:jc w:val="start"/>
              <w:rPr>
                <w:sz w:val="4"/>
                <w:szCs w:val="4"/>
              </w:rPr>
            </w:pPr>
            <w:r>
              <w:rPr>
                <w:sz w:val="4"/>
                <w:szCs w:val="4"/>
              </w:rPr>
            </w:r>
          </w:p>
        </w:tc>
        <w:tc>
          <w:tcPr>
            <w:tcW w:w="532"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https://assignbuster.com/factors-affecting-survival-in-patients-with-brain-metastasis/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survival in patients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survival-in-patients-with-brain-metasta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survival in patients with brain metastasis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survival in patients with brain metastasis</dc:title>
  <dc:subject>Others;</dc:subject>
  <dc:creator>AssignBuster</dc:creator>
  <cp:keywords/>
  <dc:description>Prognostic factors affecting the survival in patients with brain metastasis: A Retrospective study Abstract Aims: To determine long term survival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