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"https://assignbuster.com/corrigendum-melatonin-protects-mcao-induced-neuronal-loss-via-nr2a-mediated-prosurvival-pathways/"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melatonin protects mcao-induced neuronal loss via nr2a mediated pros...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Melatonin Protects MCAO-Induced Neuronal Loss </w:t>
        </w:r>
        <w:r>
          <w:rPr>
            <w:rStyle w:val="a8"/>
            <w:i/>
          </w:rPr>
          <w:t xml:space="preserve">via </w:t>
        </w:r>
        <w:r>
          <w:rPr>
            <w:rStyle w:val="a8"/>
          </w:rPr>
          <w:t xml:space="preserve">NR2A Mediated Prosurvival Pathways </w:t>
        </w:r>
      </w:hyperlink>
    </w:p>
    <w:p>
      <w:pPr>
        <w:pStyle w:val="TextBody"/>
        <w:bidi w:val="0"/>
        <w:spacing w:before="0" w:after="283"/>
        <w:jc w:val="start"/>
        <w:rPr/>
      </w:pPr>
      <w:r>
        <w:rPr>
          <w:i/>
        </w:rPr>
        <w:t xml:space="preserve">by Shah FA, Liu G, Al Kury LT, Zeb A, Koh P-O, Abbas M, Li T, Yang X, Liu F, Jiang Y and Li S (2019). Front. Pharmacol. 10: 297. doi: </w:t>
      </w:r>
      <w:hyperlink r:id="rId15">
        <w:r>
          <w:rPr>
            <w:rStyle w:val="a8"/>
            <w:i/>
          </w:rPr>
          <w:t xml:space="preserve">10. 3389/fphar. 2019. 00297 </w:t>
        </w:r>
      </w:hyperlink>
    </w:p>
    <w:p>
      <w:pPr>
        <w:pStyle w:val="TextBody"/>
        <w:bidi w:val="0"/>
        <w:spacing w:before="0" w:after="283"/>
        <w:jc w:val="start"/>
        <w:rPr/>
      </w:pPr>
      <w:r>
        <w:rPr/>
        <w:t xml:space="preserve">Phil-Ok Kohwas not included as an author in the published article. The corrected Author Contributions Statement appears below. 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FA and GL managed the experimental work. FA and GL performed surgery, western blot, morphological experiments; performed data analysis. AZ, P-OK, MA, LA, FL, TL, XY, YJ and SL supported the study, designed study, and wrote the manuscript. YJ and SL are the corresponding authors, reviewed and approved the manuscript and held all the responsibilities related to this manuscript. All authors reviewed and approved the manuscript.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https://assignbuster.com/corrigendum-melatonin-protects-mcao-induced-neuronal-loss-via-nr2a-mediated-prosurvival-pathways/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melatonin protects mcao-ind...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ar.2019.00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melatonin protects mcao-induced neuronal loss via nr2a mediated pros...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melatonin protects mcao-induced neuronal loss via nr2a mediated pros...</dc:title>
  <dc:subject>Health &amp; Medicine;</dc:subject>
  <dc:creator>AssignBuster</dc:creator>
  <cp:keywords/>
  <dc:description>All authors reviewed and approved the manuscript.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