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"https://assignbuster.com/corrigendum-inhibitory-control-in-speech-comprehension-among-daihan-bilingual-children/"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inhibitory control in speech comprehension among dai–han bilingual c...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Inhibitory Control in Speech Comprehension among Dai–Han Bilingual Children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Tao, Y., Liu, Z., Tempel, T., Chen, R., Ma, X., Wang, X., et al. (2017). Front. Psychol. 8: 1391. doi: </w:t>
      </w:r>
      <w:hyperlink r:id="rId15">
        <w:r>
          <w:rPr>
            <w:rStyle w:val="a8"/>
            <w:i/>
          </w:rPr>
          <w:t xml:space="preserve">10. 3389/fpsyg. 2017. 01391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error in the Funding statement. The correct number for the National Natural Science Foundation of China is 31660282.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 following affiliation should be added for Xiaoxi Wang: “ College of Preschool Education and Special Education, Kunming University, Kunming, China.”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the correct affiliation for Yan Liu should be: “ Faculty of Foreign Languages and Cultures, Kunming University of Science and Technology, Kunming, China.”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https://assignbuster.com/corrigendum-inhibitory-control-in-speech-comprehension-among-daihan-bilingual-children/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inhibitory control in speec...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7.01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inhibitory control in speech comprehension among dai–han bilingual c...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inhibitory control in speech comprehension among dai–han bilingual c...</dc:title>
  <dc:subject>Health &amp; Medicine;</dc:subject>
  <dc:creator>AssignBuster</dc:creator>
  <cp:keywords/>
  <dc:description>In the published article, the following affiliation should be added for Xiaoxi Wang: " College of Preschool Education and Special Education, Kunming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