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Bezlotoxumab (zinplava) with mayo clinic</w:t>
        </w:r>
      </w:hyperlink>
      <w:bookmarkEnd w:id="0"/>
    </w:p>
    <w:p>
      <w:r>
        <w:br w:type="page"/>
      </w:r>
    </w:p>
    <w:p>
      <w:pPr>
        <w:pStyle w:val="TextBody"/>
        <w:bidi w:val="0"/>
        <w:jc w:val="start"/>
        <w:rPr/>
      </w:pPr>
      <w:r>
        <w:rPr/>
        <w:t xml:space="preserve">Group 4: Rafi Saadallah, Anthony Hill, Alex Nedved, Angel Withrow </w:t>
      </w:r>
    </w:p>
    <w:p>
      <w:pPr>
        <w:pStyle w:val="TextBody"/>
        <w:bidi w:val="0"/>
        <w:spacing w:before="0" w:after="283"/>
        <w:jc w:val="start"/>
        <w:rPr/>
      </w:pPr>
      <w:r>
        <w:rPr/>
        <w:t xml:space="preserve">Bezlotoxumab (Zinplava) </w:t>
      </w:r>
    </w:p>
    <w:p>
      <w:pPr>
        <w:pStyle w:val="TextBody"/>
        <w:bidi w:val="0"/>
        <w:spacing w:before="0" w:after="283"/>
        <w:jc w:val="start"/>
        <w:rPr/>
      </w:pPr>
      <w:r>
        <w:rPr/>
        <w:t xml:space="preserve">BLT with MAYO Clinic </w:t>
      </w:r>
    </w:p>
    <w:p>
      <w:pPr>
        <w:pStyle w:val="TextBody"/>
        <w:bidi w:val="0"/>
        <w:spacing w:before="0" w:after="283"/>
        <w:jc w:val="start"/>
        <w:rPr/>
      </w:pPr>
      <w:r>
        <w:rPr/>
        <w:t xml:space="preserve">Pharmacy and Therapeutic committee </w:t>
      </w:r>
    </w:p>
    <w:p>
      <w:pPr>
        <w:pStyle w:val="TextBody"/>
        <w:bidi w:val="0"/>
        <w:spacing w:before="0" w:after="283"/>
        <w:jc w:val="start"/>
        <w:rPr/>
      </w:pPr>
      <w:r>
        <w:rPr/>
        <w:t xml:space="preserve">Drug Evaluation Monograph: </w:t>
      </w:r>
    </w:p>
    <w:tbl>
      <w:tblPr>
        <w:tblW w:w="3272" w:type="dxa"/>
        <w:jc w:val="start"/>
        <w:tblInd w:w="0" w:type="dxa"/>
        <w:tblLayout w:type="fixed"/>
        <w:tblCellMar>
          <w:top w:w="28" w:type="dxa"/>
          <w:start w:w="28" w:type="dxa"/>
          <w:bottom w:w="28" w:type="dxa"/>
          <w:end w:w="28" w:type="dxa"/>
        </w:tblCellMar>
      </w:tblPr>
      <w:tblGrid>
        <w:gridCol w:w="1456"/>
        <w:gridCol w:w="1816"/>
      </w:tblGrid>
      <w:tr>
        <w:trPr/>
        <w:tc>
          <w:tcPr>
            <w:tcW w:w="1456" w:type="dxa"/>
            <w:tcBorders/>
            <w:vAlign w:val="center"/>
          </w:tcPr>
          <w:p>
            <w:pPr>
              <w:pStyle w:val="TableContents"/>
              <w:bidi w:val="0"/>
              <w:spacing w:before="0" w:after="283"/>
              <w:jc w:val="start"/>
              <w:rPr/>
            </w:pPr>
            <w:r>
              <w:rPr/>
              <w:t xml:space="preserve">Generic Name </w:t>
            </w:r>
          </w:p>
        </w:tc>
        <w:tc>
          <w:tcPr>
            <w:tcW w:w="1816" w:type="dxa"/>
            <w:tcBorders/>
            <w:vAlign w:val="center"/>
          </w:tcPr>
          <w:p>
            <w:pPr>
              <w:pStyle w:val="TableContents"/>
              <w:bidi w:val="0"/>
              <w:spacing w:before="0" w:after="283"/>
              <w:jc w:val="start"/>
              <w:rPr/>
            </w:pPr>
            <w:r>
              <w:rPr/>
              <w:t xml:space="preserve">Bezlotoxumab </w:t>
            </w:r>
          </w:p>
        </w:tc>
      </w:tr>
      <w:tr>
        <w:trPr/>
        <w:tc>
          <w:tcPr>
            <w:tcW w:w="1456" w:type="dxa"/>
            <w:tcBorders/>
            <w:vAlign w:val="center"/>
          </w:tcPr>
          <w:p>
            <w:pPr>
              <w:pStyle w:val="TableContents"/>
              <w:bidi w:val="0"/>
              <w:spacing w:before="0" w:after="283"/>
              <w:jc w:val="start"/>
              <w:rPr/>
            </w:pPr>
            <w:r>
              <w:rPr/>
              <w:t xml:space="preserve">Brand Name </w:t>
            </w:r>
          </w:p>
        </w:tc>
        <w:tc>
          <w:tcPr>
            <w:tcW w:w="1816" w:type="dxa"/>
            <w:tcBorders/>
            <w:vAlign w:val="center"/>
          </w:tcPr>
          <w:p>
            <w:pPr>
              <w:pStyle w:val="TableContents"/>
              <w:bidi w:val="0"/>
              <w:spacing w:before="0" w:after="283"/>
              <w:jc w:val="start"/>
              <w:rPr/>
            </w:pPr>
            <w:r>
              <w:rPr/>
              <w:t xml:space="preserve">Zinplava </w:t>
            </w:r>
          </w:p>
        </w:tc>
      </w:tr>
      <w:tr>
        <w:trPr/>
        <w:tc>
          <w:tcPr>
            <w:tcW w:w="1456" w:type="dxa"/>
            <w:tcBorders/>
            <w:vAlign w:val="center"/>
          </w:tcPr>
          <w:p>
            <w:pPr>
              <w:pStyle w:val="TableContents"/>
              <w:bidi w:val="0"/>
              <w:spacing w:before="0" w:after="283"/>
              <w:jc w:val="start"/>
              <w:rPr/>
            </w:pPr>
            <w:r>
              <w:rPr/>
              <w:t xml:space="preserve">Manufacturer </w:t>
            </w:r>
          </w:p>
        </w:tc>
        <w:tc>
          <w:tcPr>
            <w:tcW w:w="1816" w:type="dxa"/>
            <w:tcBorders/>
            <w:vAlign w:val="center"/>
          </w:tcPr>
          <w:p>
            <w:pPr>
              <w:pStyle w:val="TableContents"/>
              <w:bidi w:val="0"/>
              <w:spacing w:before="0" w:after="283"/>
              <w:jc w:val="start"/>
              <w:rPr/>
            </w:pPr>
            <w:r>
              <w:rPr/>
              <w:t xml:space="preserve">MERCK SHARP DOHME </w:t>
            </w:r>
          </w:p>
        </w:tc>
      </w:tr>
      <w:tr>
        <w:trPr/>
        <w:tc>
          <w:tcPr>
            <w:tcW w:w="1456" w:type="dxa"/>
            <w:tcBorders/>
            <w:vAlign w:val="center"/>
          </w:tcPr>
          <w:p>
            <w:pPr>
              <w:pStyle w:val="TableContents"/>
              <w:bidi w:val="0"/>
              <w:spacing w:before="0" w:after="283"/>
              <w:jc w:val="start"/>
              <w:rPr/>
            </w:pPr>
            <w:r>
              <w:rPr/>
              <w:t xml:space="preserve">Therapeutic Category </w:t>
            </w:r>
          </w:p>
        </w:tc>
        <w:tc>
          <w:tcPr>
            <w:tcW w:w="1816" w:type="dxa"/>
            <w:tcBorders/>
            <w:vAlign w:val="center"/>
          </w:tcPr>
          <w:p>
            <w:pPr>
              <w:pStyle w:val="TableContents"/>
              <w:bidi w:val="0"/>
              <w:spacing w:before="0" w:after="283"/>
              <w:jc w:val="start"/>
              <w:rPr/>
            </w:pPr>
            <w:r>
              <w:rPr/>
              <w:t xml:space="preserve">80: 04 Antitoxins and Immune Globulins </w:t>
            </w:r>
          </w:p>
        </w:tc>
      </w:tr>
      <w:tr>
        <w:trPr/>
        <w:tc>
          <w:tcPr>
            <w:tcW w:w="1456" w:type="dxa"/>
            <w:tcBorders/>
            <w:vAlign w:val="center"/>
          </w:tcPr>
          <w:p>
            <w:pPr>
              <w:pStyle w:val="TableContents"/>
              <w:bidi w:val="0"/>
              <w:spacing w:before="0" w:after="283"/>
              <w:jc w:val="start"/>
              <w:rPr/>
            </w:pPr>
            <w:r>
              <w:rPr/>
              <w:t xml:space="preserve">Classification </w:t>
            </w:r>
          </w:p>
        </w:tc>
        <w:tc>
          <w:tcPr>
            <w:tcW w:w="1816" w:type="dxa"/>
            <w:tcBorders/>
            <w:vAlign w:val="center"/>
          </w:tcPr>
          <w:p>
            <w:pPr>
              <w:pStyle w:val="TableContents"/>
              <w:bidi w:val="0"/>
              <w:spacing w:before="0" w:after="283"/>
              <w:jc w:val="start"/>
              <w:rPr/>
            </w:pPr>
            <w:r>
              <w:rPr/>
              <w:t xml:space="preserve">J06BB: Specific Immunoglobulins </w:t>
            </w:r>
          </w:p>
        </w:tc>
      </w:tr>
      <w:tr>
        <w:trPr/>
        <w:tc>
          <w:tcPr>
            <w:tcW w:w="1456" w:type="dxa"/>
            <w:tcBorders/>
            <w:vAlign w:val="center"/>
          </w:tcPr>
          <w:p>
            <w:pPr>
              <w:pStyle w:val="TableContents"/>
              <w:bidi w:val="0"/>
              <w:spacing w:before="0" w:after="283"/>
              <w:jc w:val="start"/>
              <w:rPr/>
            </w:pPr>
            <w:r>
              <w:rPr/>
              <w:t xml:space="preserve">FDA Classification: Approved (rating not specified) </w:t>
            </w:r>
          </w:p>
        </w:tc>
        <w:tc>
          <w:tcPr>
            <w:tcW w:w="1816" w:type="dxa"/>
            <w:tcBorders/>
          </w:tcPr>
          <w:p>
            <w:pPr>
              <w:pStyle w:val="TableContents"/>
              <w:bidi w:val="0"/>
              <w:spacing w:before="0" w:after="283"/>
              <w:jc w:val="start"/>
              <w:rPr>
                <w:sz w:val="4"/>
                <w:szCs w:val="4"/>
              </w:rPr>
            </w:pPr>
            <w:r>
              <w:rPr>
                <w:sz w:val="4"/>
                <w:szCs w:val="4"/>
              </w:rPr>
            </w:r>
          </w:p>
        </w:tc>
      </w:tr>
      <w:tr>
        <w:trPr/>
        <w:tc>
          <w:tcPr>
            <w:tcW w:w="1456" w:type="dxa"/>
            <w:tcBorders/>
            <w:vAlign w:val="center"/>
          </w:tcPr>
          <w:p>
            <w:pPr>
              <w:pStyle w:val="TableContents"/>
              <w:bidi w:val="0"/>
              <w:spacing w:before="0" w:after="283"/>
              <w:jc w:val="start"/>
              <w:rPr/>
            </w:pPr>
            <w:r>
              <w:rPr/>
              <w:t xml:space="preserve">Status: Rx only </w:t>
            </w:r>
          </w:p>
        </w:tc>
        <w:tc>
          <w:tcPr>
            <w:tcW w:w="1816" w:type="dxa"/>
            <w:tcBorders/>
          </w:tcPr>
          <w:p>
            <w:pPr>
              <w:pStyle w:val="TableContents"/>
              <w:bidi w:val="0"/>
              <w:spacing w:before="0" w:after="283"/>
              <w:jc w:val="start"/>
              <w:rPr>
                <w:sz w:val="4"/>
                <w:szCs w:val="4"/>
              </w:rPr>
            </w:pPr>
            <w:r>
              <w:rPr>
                <w:sz w:val="4"/>
                <w:szCs w:val="4"/>
              </w:rPr>
            </w:r>
          </w:p>
        </w:tc>
      </w:tr>
      <w:tr>
        <w:trPr/>
        <w:tc>
          <w:tcPr>
            <w:tcW w:w="1456" w:type="dxa"/>
            <w:tcBorders/>
            <w:vAlign w:val="center"/>
          </w:tcPr>
          <w:p>
            <w:pPr>
              <w:pStyle w:val="TableContents"/>
              <w:bidi w:val="0"/>
              <w:spacing w:before="0" w:after="283"/>
              <w:jc w:val="start"/>
              <w:rPr/>
            </w:pPr>
            <w:r>
              <w:rPr/>
              <w:t xml:space="preserve">Similar Agents on Market </w:t>
            </w:r>
          </w:p>
        </w:tc>
        <w:tc>
          <w:tcPr>
            <w:tcW w:w="1816" w:type="dxa"/>
            <w:tcBorders/>
            <w:vAlign w:val="center"/>
          </w:tcPr>
          <w:p>
            <w:pPr>
              <w:pStyle w:val="TableContents"/>
              <w:bidi w:val="0"/>
              <w:spacing w:before="0" w:after="283"/>
              <w:jc w:val="start"/>
              <w:rPr/>
            </w:pPr>
            <w:r>
              <w:rPr/>
              <w:t xml:space="preserve">None </w:t>
            </w:r>
          </w:p>
        </w:tc>
      </w:tr>
    </w:tbl>
    <w:p>
      <w:pPr>
        <w:pStyle w:val="TextBody"/>
        <w:bidi w:val="0"/>
        <w:spacing w:before="0" w:after="283"/>
        <w:jc w:val="start"/>
        <w:rPr/>
      </w:pPr>
      <w:r>
        <w:rPr/>
        <w:t xml:space="preserve">Summary: </w:t>
      </w:r>
    </w:p>
    <w:p>
      <w:pPr>
        <w:pStyle w:val="TextBody"/>
        <w:bidi w:val="0"/>
        <w:spacing w:before="0" w:after="283"/>
        <w:jc w:val="start"/>
        <w:rPr/>
      </w:pPr>
      <w:r>
        <w:rPr/>
        <w:t xml:space="preserve">Zinplava is the first and only monoclonal antibody FDA approved for prevention of recurrent C. Diff infections. It is used as an add on therapy to decrease risk of recurrent C. Diff. Zinplava is currently the only drug in its class because it’s currently the only drug in the market that prevents the recurrence of CDI instead of treating the actual infection. The drugs mechanisms of action is unique due to its ability to inhibit Toxin B and stopping its effects on the cell. After looking at the trials, it’s hard to see any side effects that can prevent people from taking this drug. Most of the Zinplava’s side effects were nausea, headaches, and infusion problems. It is recommended to not use this drug with people who have congestive heart failure. </w:t>
      </w:r>
    </w:p>
    <w:p>
      <w:pPr>
        <w:pStyle w:val="TextBody"/>
        <w:bidi w:val="0"/>
        <w:spacing w:before="0" w:after="283"/>
        <w:jc w:val="start"/>
        <w:rPr/>
      </w:pPr>
      <w:r>
        <w:rPr/>
        <w:t xml:space="preserve">Recommendations: </w:t>
      </w:r>
    </w:p>
    <w:p>
      <w:pPr>
        <w:pStyle w:val="TextBody"/>
        <w:bidi w:val="0"/>
        <w:spacing w:before="0" w:after="283"/>
        <w:jc w:val="start"/>
        <w:rPr/>
      </w:pPr>
      <w:r>
        <w:rPr/>
        <w:t xml:space="preserve">It is recommended to add Zinplava to the drug formulary for add on therapy. It is usefull for those patients that are at especially high risk of a recurrent C. Diff infection. Zinplava currently costs $4, 560. 00 per vial and while it has been proven to reduce the risk of recurrent zinplava the use of this medication can only be justified in patients that meet criteria that would put them at high risk of recurrent C. Difff. With other options available to prevent recurrent C. Diff it can only be justified to use zinplava in a particular group of patients that cannot tolerate alternative medical interventions and are at an increased risk of recurrent C. Diff. </w:t>
      </w:r>
    </w:p>
    <w:p>
      <w:pPr>
        <w:pStyle w:val="TextBody"/>
        <w:bidi w:val="0"/>
        <w:spacing w:before="0" w:after="283"/>
        <w:jc w:val="start"/>
        <w:rPr/>
      </w:pPr>
      <w:r>
        <w:rPr/>
        <w:t xml:space="preserve">Pharmacological Data: </w:t>
      </w:r>
    </w:p>
    <w:p>
      <w:pPr>
        <w:pStyle w:val="TextBody"/>
        <w:bidi w:val="0"/>
        <w:spacing w:before="0" w:after="283"/>
        <w:jc w:val="start"/>
        <w:rPr/>
      </w:pPr>
      <w:r>
        <w:rPr>
          <w:rStyle w:val="Emphasis"/>
        </w:rPr>
        <w:t xml:space="preserve">Mechanism of action </w:t>
      </w:r>
      <w:r>
        <w:rPr/>
        <w:t xml:space="preserve">: A monoclonal antibody that inhibits Toxin B (does not bind to Toxin A) and stops the effect on Mammalian cells. This drug should not be used alone, instead it needs to be used in conjunction with other antibiotics to treat recurrence cases of C. Diff. </w:t>
      </w:r>
    </w:p>
    <w:p>
      <w:pPr>
        <w:pStyle w:val="TextBody"/>
        <w:bidi w:val="0"/>
        <w:spacing w:before="0" w:after="283"/>
        <w:jc w:val="start"/>
        <w:rPr/>
      </w:pPr>
      <w:r>
        <w:rPr/>
        <w:t xml:space="preserve">Therapeutic Indications: </w:t>
      </w:r>
    </w:p>
    <w:p>
      <w:pPr>
        <w:pStyle w:val="TextBody"/>
        <w:bidi w:val="0"/>
        <w:spacing w:before="0" w:after="283"/>
        <w:jc w:val="start"/>
        <w:rPr/>
      </w:pPr>
      <w:r>
        <w:rPr/>
        <w:t xml:space="preserve">FDA approved on June 9th, 2016 for the prevention and treatment of recurrent C. diff in patients &gt; 18 years of age that are undergoing antimicrobial therapy for the treatment of C. Diff. </w:t>
      </w:r>
    </w:p>
    <w:p>
      <w:pPr>
        <w:pStyle w:val="TextBody"/>
        <w:bidi w:val="0"/>
        <w:spacing w:before="0" w:after="283"/>
        <w:jc w:val="start"/>
        <w:rPr/>
      </w:pPr>
      <w:r>
        <w:rPr/>
        <w:t xml:space="preserve">Evidence Based Guidelines </w:t>
      </w:r>
    </w:p>
    <w:p>
      <w:pPr>
        <w:pStyle w:val="TextBody"/>
        <w:bidi w:val="0"/>
        <w:spacing w:before="0" w:after="283"/>
        <w:jc w:val="start"/>
        <w:rPr/>
      </w:pPr>
      <w:r>
        <w:rPr/>
        <w:t>–</w:t>
      </w:r>
      <w:r>
        <w:rPr/>
        <w:t xml:space="preserve">Zinplava was approved in October 2016 and its place in guideline therapy has not yet been determined. It is the first monoclonal antibody approved for the prevention of recurrent C. Diff. and guidelines do not yet reflect therapy with zinplava for the prevention of primary or recurrent C. Diff. All guidelines available are only for the treatment of C. diff and do not yet include zinplava. </w:t>
      </w:r>
    </w:p>
    <w:p>
      <w:pPr>
        <w:pStyle w:val="TextBody"/>
        <w:bidi w:val="0"/>
        <w:spacing w:before="0" w:after="283"/>
        <w:jc w:val="start"/>
        <w:rPr/>
      </w:pPr>
      <w:r>
        <w:rPr/>
        <w:t xml:space="preserve">Clinical Studies: </w:t>
      </w:r>
    </w:p>
    <w:p>
      <w:pPr>
        <w:pStyle w:val="TextBody"/>
        <w:bidi w:val="0"/>
        <w:spacing w:before="0" w:after="283"/>
        <w:jc w:val="start"/>
        <w:rPr/>
      </w:pPr>
      <w:r>
        <w:rPr/>
        <w:t xml:space="preserve">The safety of Zinplava was evaluated in two placebo-controlled Phase 3 trials. Patients received a single Zinplava dose with antimicrobial treatment for C. diff infection. Between the experimental group and placebo group, mortality rates were slightly lower in the experimental group at 7. 1% compared to 7. 6% at a 12 week follow-up. Common side effects noted were nausea, pyrexia, and headache. Heart failure was listed as a serious adverse reaction, as it occurred in 2. 3% of the experimental group compared to 1% in the placebo group. Infusion related reactions were reported in 10% of patients treated with Zinplava compared to 8% of placebo patients. </w:t>
      </w:r>
    </w:p>
    <w:p>
      <w:pPr>
        <w:pStyle w:val="TextBody"/>
        <w:bidi w:val="0"/>
        <w:spacing w:before="0" w:after="283"/>
        <w:jc w:val="start"/>
        <w:rPr/>
      </w:pPr>
      <w:r>
        <w:rPr/>
        <w:t xml:space="preserve">In terms of recurrence prevention efficacy, Trial 1 had 386 patients in the Zinplava group and 395 patients in the control group. Disease recurrence was found in 67 patients (17. 4%) treated with Zinplava and in 109 patients (27. 6%) of the control group. In Trial 2, there were 395 patients in the Zinplava group and 378 patients in the control group. Disease recurrence was found in 62 patients (15. 7%) treated with Zinplava and in 97 patients (25. 7%) of the control group. There was no statistical significance </w:t>
      </w:r>
    </w:p>
    <w:p>
      <w:pPr>
        <w:pStyle w:val="TextBody"/>
        <w:numPr>
          <w:ilvl w:val="0"/>
          <w:numId w:val="2"/>
        </w:numPr>
        <w:tabs>
          <w:tab w:val="clear" w:pos="1134"/>
          <w:tab w:val="left" w:pos="707" w:leader="none"/>
        </w:tabs>
        <w:bidi w:val="0"/>
        <w:spacing w:before="0" w:after="0"/>
        <w:ind w:start="707" w:hanging="283"/>
        <w:jc w:val="start"/>
        <w:rPr/>
      </w:pPr>
      <w:r>
        <w:rPr/>
        <w:t xml:space="preserve">Merck Sharp &amp; Dohme Corp. A study of MK-3415, MK-6072, and MK-3415A in participants receiving antibiotic therapy for clostridium difficile infection (MK-3415A-001) (MODIFY I). NLM Identifier: NCT01241552. Last updated November 30, 2015. Available at: </w:t>
      </w:r>
      <w:r>
        <w:rPr>
          <w:u w:val="single"/>
        </w:rPr>
        <w:t xml:space="preserve">https://www. clinicaltrials. gov/ct2/show/NCT01241552? term= NCT01241552&amp;rank= 1 </w:t>
      </w:r>
      <w:r>
        <w:rPr/>
        <w:t xml:space="preserve">. </w:t>
      </w:r>
    </w:p>
    <w:p>
      <w:pPr>
        <w:pStyle w:val="TextBody"/>
        <w:numPr>
          <w:ilvl w:val="0"/>
          <w:numId w:val="2"/>
        </w:numPr>
        <w:tabs>
          <w:tab w:val="clear" w:pos="1134"/>
          <w:tab w:val="left" w:pos="707" w:leader="none"/>
        </w:tabs>
        <w:bidi w:val="0"/>
        <w:ind w:start="707" w:hanging="283"/>
        <w:jc w:val="start"/>
        <w:rPr/>
      </w:pPr>
      <w:r>
        <w:rPr/>
        <w:t xml:space="preserve">Merck Sharp &amp; Dohme Corp. A study of MK-6072 and MK-3415A in participants receiving antibiotic therapy for clostridium difficile infection (MK-3415A-002) (MODIFY 11). NLM Identifier: NCT01513239. Last updated October 29, 2015. Available at: </w:t>
      </w:r>
      <w:r>
        <w:rPr>
          <w:u w:val="single"/>
        </w:rPr>
        <w:t xml:space="preserve">https://www. clinicaltrials. gov/ct2/show/NCT01513239? term= NCT01513239&amp;rank= 1 </w:t>
      </w:r>
      <w:r>
        <w:rPr/>
        <w:t xml:space="preserve">. </w:t>
      </w:r>
    </w:p>
    <w:p>
      <w:pPr>
        <w:pStyle w:val="TextBody"/>
        <w:bidi w:val="0"/>
        <w:jc w:val="start"/>
        <w:rPr/>
      </w:pPr>
      <w:r>
        <w:rPr/>
        <w:t xml:space="preserve">Pharmacokinetics and Bioavailability </w:t>
      </w:r>
    </w:p>
    <w:tbl>
      <w:tblPr>
        <w:tblW w:w="3272" w:type="dxa"/>
        <w:jc w:val="start"/>
        <w:tblInd w:w="0" w:type="dxa"/>
        <w:tblLayout w:type="fixed"/>
        <w:tblCellMar>
          <w:top w:w="28" w:type="dxa"/>
          <w:start w:w="28" w:type="dxa"/>
          <w:bottom w:w="28" w:type="dxa"/>
          <w:end w:w="28" w:type="dxa"/>
        </w:tblCellMar>
      </w:tblPr>
      <w:tblGrid>
        <w:gridCol w:w="1264"/>
        <w:gridCol w:w="2008"/>
      </w:tblGrid>
      <w:tr>
        <w:trPr/>
        <w:tc>
          <w:tcPr>
            <w:tcW w:w="1264" w:type="dxa"/>
            <w:tcBorders/>
            <w:vAlign w:val="center"/>
          </w:tcPr>
          <w:p>
            <w:pPr>
              <w:pStyle w:val="TableContents"/>
              <w:bidi w:val="0"/>
              <w:spacing w:before="0" w:after="283"/>
              <w:jc w:val="start"/>
              <w:rPr/>
            </w:pPr>
            <w:r>
              <w:rPr/>
              <w:t xml:space="preserve">Absorption </w:t>
            </w:r>
          </w:p>
        </w:tc>
        <w:tc>
          <w:tcPr>
            <w:tcW w:w="2008" w:type="dxa"/>
            <w:tcBorders/>
            <w:vAlign w:val="center"/>
          </w:tcPr>
          <w:p>
            <w:pPr>
              <w:pStyle w:val="TableContents"/>
              <w:bidi w:val="0"/>
              <w:spacing w:before="0" w:after="283"/>
              <w:jc w:val="start"/>
              <w:rPr/>
            </w:pPr>
            <w:r>
              <w:rPr/>
              <w:t xml:space="preserve">Immediately and 100% bioavailable </w:t>
            </w:r>
          </w:p>
        </w:tc>
      </w:tr>
      <w:tr>
        <w:trPr/>
        <w:tc>
          <w:tcPr>
            <w:tcW w:w="1264" w:type="dxa"/>
            <w:tcBorders/>
            <w:vAlign w:val="center"/>
          </w:tcPr>
          <w:p>
            <w:pPr>
              <w:pStyle w:val="TableContents"/>
              <w:bidi w:val="0"/>
              <w:spacing w:before="0" w:after="283"/>
              <w:jc w:val="start"/>
              <w:rPr/>
            </w:pPr>
            <w:r>
              <w:rPr/>
              <w:t xml:space="preserve">Distribution </w:t>
            </w:r>
          </w:p>
        </w:tc>
        <w:tc>
          <w:tcPr>
            <w:tcW w:w="2008" w:type="dxa"/>
            <w:tcBorders/>
            <w:vAlign w:val="center"/>
          </w:tcPr>
          <w:p>
            <w:pPr>
              <w:pStyle w:val="TableContents"/>
              <w:bidi w:val="0"/>
              <w:spacing w:before="0" w:after="283"/>
              <w:jc w:val="start"/>
              <w:rPr/>
            </w:pPr>
            <w:r>
              <w:rPr/>
              <w:t xml:space="preserve">Vd is 7. 33 L </w:t>
            </w:r>
          </w:p>
        </w:tc>
      </w:tr>
      <w:tr>
        <w:trPr/>
        <w:tc>
          <w:tcPr>
            <w:tcW w:w="1264" w:type="dxa"/>
            <w:tcBorders/>
            <w:vAlign w:val="center"/>
          </w:tcPr>
          <w:p>
            <w:pPr>
              <w:pStyle w:val="TableContents"/>
              <w:bidi w:val="0"/>
              <w:spacing w:before="0" w:after="283"/>
              <w:jc w:val="start"/>
              <w:rPr/>
            </w:pPr>
            <w:r>
              <w:rPr/>
              <w:t xml:space="preserve">Metabolism </w:t>
            </w:r>
          </w:p>
        </w:tc>
        <w:tc>
          <w:tcPr>
            <w:tcW w:w="2008" w:type="dxa"/>
            <w:tcBorders/>
            <w:vAlign w:val="center"/>
          </w:tcPr>
          <w:p>
            <w:pPr>
              <w:pStyle w:val="TableContents"/>
              <w:bidi w:val="0"/>
              <w:spacing w:before="0" w:after="283"/>
              <w:jc w:val="start"/>
              <w:rPr/>
            </w:pPr>
            <w:r>
              <w:rPr/>
              <w:t xml:space="preserve">By Catabolism </w:t>
            </w:r>
          </w:p>
        </w:tc>
      </w:tr>
      <w:tr>
        <w:trPr/>
        <w:tc>
          <w:tcPr>
            <w:tcW w:w="1264" w:type="dxa"/>
            <w:tcBorders/>
            <w:vAlign w:val="center"/>
          </w:tcPr>
          <w:p>
            <w:pPr>
              <w:pStyle w:val="TableContents"/>
              <w:bidi w:val="0"/>
              <w:spacing w:before="0" w:after="283"/>
              <w:jc w:val="start"/>
              <w:rPr/>
            </w:pPr>
            <w:r>
              <w:rPr/>
              <w:t xml:space="preserve">Excretion </w:t>
            </w:r>
          </w:p>
        </w:tc>
        <w:tc>
          <w:tcPr>
            <w:tcW w:w="2008" w:type="dxa"/>
            <w:tcBorders/>
            <w:vAlign w:val="center"/>
          </w:tcPr>
          <w:p>
            <w:pPr>
              <w:pStyle w:val="TableContents"/>
              <w:bidi w:val="0"/>
              <w:spacing w:before="0" w:after="283"/>
              <w:jc w:val="start"/>
              <w:rPr/>
            </w:pPr>
            <w:r>
              <w:rPr/>
              <w:t xml:space="preserve">Primarily by Catabolism </w:t>
            </w:r>
          </w:p>
        </w:tc>
      </w:tr>
    </w:tbl>
    <w:p>
      <w:pPr>
        <w:pStyle w:val="TextBody"/>
        <w:bidi w:val="0"/>
        <w:spacing w:before="0" w:after="283"/>
        <w:jc w:val="start"/>
        <w:rPr/>
      </w:pPr>
      <w:r>
        <w:rPr/>
        <w:t xml:space="preserve">Dosage Forms: </w:t>
      </w:r>
    </w:p>
    <w:tbl>
      <w:tblPr>
        <w:tblW w:w="3272" w:type="dxa"/>
        <w:jc w:val="start"/>
        <w:tblInd w:w="0" w:type="dxa"/>
        <w:tblLayout w:type="fixed"/>
        <w:tblCellMar>
          <w:top w:w="28" w:type="dxa"/>
          <w:start w:w="28" w:type="dxa"/>
          <w:bottom w:w="28" w:type="dxa"/>
          <w:end w:w="28" w:type="dxa"/>
        </w:tblCellMar>
      </w:tblPr>
      <w:tblGrid>
        <w:gridCol w:w="1540"/>
        <w:gridCol w:w="1732"/>
      </w:tblGrid>
      <w:tr>
        <w:trPr/>
        <w:tc>
          <w:tcPr>
            <w:tcW w:w="1540" w:type="dxa"/>
            <w:tcBorders/>
            <w:vAlign w:val="center"/>
          </w:tcPr>
          <w:p>
            <w:pPr>
              <w:pStyle w:val="TableContents"/>
              <w:bidi w:val="0"/>
              <w:spacing w:before="0" w:after="283"/>
              <w:jc w:val="start"/>
              <w:rPr/>
            </w:pPr>
            <w:r>
              <w:rPr/>
              <w:t xml:space="preserve">Drug </w:t>
            </w:r>
          </w:p>
        </w:tc>
        <w:tc>
          <w:tcPr>
            <w:tcW w:w="1732" w:type="dxa"/>
            <w:tcBorders/>
            <w:vAlign w:val="center"/>
          </w:tcPr>
          <w:p>
            <w:pPr>
              <w:pStyle w:val="TableContents"/>
              <w:bidi w:val="0"/>
              <w:spacing w:before="0" w:after="283"/>
              <w:jc w:val="start"/>
              <w:rPr/>
            </w:pPr>
            <w:r>
              <w:rPr/>
              <w:t xml:space="preserve">Bezlotoxumab </w:t>
            </w:r>
          </w:p>
        </w:tc>
      </w:tr>
      <w:tr>
        <w:trPr/>
        <w:tc>
          <w:tcPr>
            <w:tcW w:w="1540" w:type="dxa"/>
            <w:tcBorders/>
            <w:vAlign w:val="center"/>
          </w:tcPr>
          <w:p>
            <w:pPr>
              <w:pStyle w:val="TableContents"/>
              <w:bidi w:val="0"/>
              <w:spacing w:before="0" w:after="283"/>
              <w:jc w:val="start"/>
              <w:rPr/>
            </w:pPr>
            <w:r>
              <w:rPr/>
              <w:t xml:space="preserve">Formulation </w:t>
            </w:r>
          </w:p>
        </w:tc>
        <w:tc>
          <w:tcPr>
            <w:tcW w:w="1732" w:type="dxa"/>
            <w:tcBorders/>
            <w:vAlign w:val="center"/>
          </w:tcPr>
          <w:p>
            <w:pPr>
              <w:pStyle w:val="TableContents"/>
              <w:bidi w:val="0"/>
              <w:spacing w:before="0" w:after="283"/>
              <w:jc w:val="start"/>
              <w:rPr/>
            </w:pPr>
            <w:r>
              <w:rPr/>
              <w:t xml:space="preserve">Solution </w:t>
            </w:r>
          </w:p>
        </w:tc>
      </w:tr>
      <w:tr>
        <w:trPr/>
        <w:tc>
          <w:tcPr>
            <w:tcW w:w="1540" w:type="dxa"/>
            <w:tcBorders/>
            <w:vAlign w:val="center"/>
          </w:tcPr>
          <w:p>
            <w:pPr>
              <w:pStyle w:val="TableContents"/>
              <w:bidi w:val="0"/>
              <w:spacing w:before="0" w:after="283"/>
              <w:jc w:val="start"/>
              <w:rPr/>
            </w:pPr>
            <w:r>
              <w:rPr/>
              <w:t xml:space="preserve">Strength </w:t>
            </w:r>
          </w:p>
        </w:tc>
        <w:tc>
          <w:tcPr>
            <w:tcW w:w="1732" w:type="dxa"/>
            <w:tcBorders/>
            <w:vAlign w:val="center"/>
          </w:tcPr>
          <w:p>
            <w:pPr>
              <w:pStyle w:val="TableContents"/>
              <w:bidi w:val="0"/>
              <w:spacing w:before="0" w:after="283"/>
              <w:jc w:val="start"/>
              <w:rPr/>
            </w:pPr>
            <w:r>
              <w:rPr/>
              <w:t xml:space="preserve">1000 mg/40 ml (25 mg/ml) </w:t>
            </w:r>
          </w:p>
        </w:tc>
      </w:tr>
      <w:tr>
        <w:trPr/>
        <w:tc>
          <w:tcPr>
            <w:tcW w:w="1540" w:type="dxa"/>
            <w:tcBorders/>
            <w:vAlign w:val="center"/>
          </w:tcPr>
          <w:p>
            <w:pPr>
              <w:pStyle w:val="TableContents"/>
              <w:bidi w:val="0"/>
              <w:spacing w:before="0" w:after="283"/>
              <w:jc w:val="start"/>
              <w:rPr/>
            </w:pPr>
            <w:r>
              <w:rPr/>
              <w:t xml:space="preserve">Storage </w:t>
            </w:r>
          </w:p>
        </w:tc>
        <w:tc>
          <w:tcPr>
            <w:tcW w:w="1732" w:type="dxa"/>
            <w:tcBorders/>
            <w:vAlign w:val="center"/>
          </w:tcPr>
          <w:p>
            <w:pPr>
              <w:pStyle w:val="TableContents"/>
              <w:bidi w:val="0"/>
              <w:spacing w:before="0" w:after="283"/>
              <w:jc w:val="start"/>
              <w:rPr/>
            </w:pPr>
            <w:r>
              <w:rPr/>
              <w:t xml:space="preserve">2-8 °C (Do not freeze) </w:t>
            </w:r>
          </w:p>
        </w:tc>
      </w:tr>
      <w:tr>
        <w:trPr/>
        <w:tc>
          <w:tcPr>
            <w:tcW w:w="1540" w:type="dxa"/>
            <w:tcBorders/>
            <w:vAlign w:val="center"/>
          </w:tcPr>
          <w:p>
            <w:pPr>
              <w:pStyle w:val="TableContents"/>
              <w:bidi w:val="0"/>
              <w:spacing w:before="0" w:after="283"/>
              <w:jc w:val="start"/>
              <w:rPr/>
            </w:pPr>
            <w:r>
              <w:rPr/>
              <w:t xml:space="preserve">Special considerations </w:t>
            </w:r>
          </w:p>
        </w:tc>
        <w:tc>
          <w:tcPr>
            <w:tcW w:w="1732" w:type="dxa"/>
            <w:tcBorders/>
            <w:vAlign w:val="center"/>
          </w:tcPr>
          <w:p>
            <w:pPr>
              <w:pStyle w:val="TableContents"/>
              <w:bidi w:val="0"/>
              <w:spacing w:before="0" w:after="283"/>
              <w:jc w:val="start"/>
              <w:rPr/>
            </w:pPr>
            <w:r>
              <w:rPr/>
              <w:t xml:space="preserve">Solutions diluted for infusion may be stored at room temperature for up to 16 hours or under refrigeration for up to 24 hours. </w:t>
            </w:r>
          </w:p>
        </w:tc>
      </w:tr>
      <w:tr>
        <w:trPr/>
        <w:tc>
          <w:tcPr>
            <w:tcW w:w="1540" w:type="dxa"/>
            <w:tcBorders/>
            <w:vAlign w:val="center"/>
          </w:tcPr>
          <w:p>
            <w:pPr>
              <w:pStyle w:val="TableContents"/>
              <w:bidi w:val="0"/>
              <w:spacing w:before="0" w:after="283"/>
              <w:jc w:val="start"/>
              <w:rPr/>
            </w:pPr>
            <w:r>
              <w:rPr/>
              <w:t xml:space="preserve">Administration </w:t>
            </w:r>
          </w:p>
        </w:tc>
        <w:tc>
          <w:tcPr>
            <w:tcW w:w="1732" w:type="dxa"/>
            <w:tcBorders/>
            <w:vAlign w:val="center"/>
          </w:tcPr>
          <w:p>
            <w:pPr>
              <w:pStyle w:val="TableContents"/>
              <w:bidi w:val="0"/>
              <w:spacing w:before="0" w:after="283"/>
              <w:jc w:val="start"/>
              <w:rPr/>
            </w:pPr>
            <w:r>
              <w:rPr/>
              <w:t xml:space="preserve">Infusion over a 60 minute period through a sterile, low protein binding 0. 2 to 5 micro line or add on filter. Can be administered through a central line or a peripheral catheter. </w:t>
            </w:r>
          </w:p>
        </w:tc>
      </w:tr>
    </w:tbl>
    <w:p>
      <w:pPr>
        <w:pStyle w:val="TextBody"/>
        <w:bidi w:val="0"/>
        <w:spacing w:before="0" w:after="283"/>
        <w:jc w:val="start"/>
        <w:rPr/>
      </w:pPr>
      <w:r>
        <w:rPr/>
        <w:t xml:space="preserve">Dosage Range: </w:t>
      </w:r>
    </w:p>
    <w:tbl>
      <w:tblPr>
        <w:tblW w:w="3272" w:type="dxa"/>
        <w:jc w:val="start"/>
        <w:tblInd w:w="0" w:type="dxa"/>
        <w:tblLayout w:type="fixed"/>
        <w:tblCellMar>
          <w:top w:w="28" w:type="dxa"/>
          <w:start w:w="28" w:type="dxa"/>
          <w:bottom w:w="28" w:type="dxa"/>
          <w:end w:w="28" w:type="dxa"/>
        </w:tblCellMar>
      </w:tblPr>
      <w:tblGrid>
        <w:gridCol w:w="1401"/>
        <w:gridCol w:w="1871"/>
      </w:tblGrid>
      <w:tr>
        <w:trPr/>
        <w:tc>
          <w:tcPr>
            <w:tcW w:w="1401" w:type="dxa"/>
            <w:tcBorders/>
            <w:vAlign w:val="center"/>
          </w:tcPr>
          <w:p>
            <w:pPr>
              <w:pStyle w:val="TableContents"/>
              <w:bidi w:val="0"/>
              <w:spacing w:before="0" w:after="283"/>
              <w:jc w:val="start"/>
              <w:rPr/>
            </w:pPr>
            <w:r>
              <w:rPr/>
              <w:t xml:space="preserve">Adults </w:t>
            </w:r>
          </w:p>
        </w:tc>
        <w:tc>
          <w:tcPr>
            <w:tcW w:w="1871" w:type="dxa"/>
            <w:tcBorders/>
            <w:vAlign w:val="center"/>
          </w:tcPr>
          <w:p>
            <w:pPr>
              <w:pStyle w:val="TableContents"/>
              <w:bidi w:val="0"/>
              <w:spacing w:before="0" w:after="283"/>
              <w:jc w:val="start"/>
              <w:rPr/>
            </w:pPr>
            <w:r>
              <w:rPr/>
              <w:t xml:space="preserve">IV 10 mg/kg (single dose) </w:t>
            </w:r>
          </w:p>
        </w:tc>
      </w:tr>
      <w:tr>
        <w:trPr/>
        <w:tc>
          <w:tcPr>
            <w:tcW w:w="1401" w:type="dxa"/>
            <w:tcBorders/>
            <w:vAlign w:val="center"/>
          </w:tcPr>
          <w:p>
            <w:pPr>
              <w:pStyle w:val="TableContents"/>
              <w:bidi w:val="0"/>
              <w:spacing w:before="0" w:after="283"/>
              <w:jc w:val="start"/>
              <w:rPr/>
            </w:pPr>
            <w:r>
              <w:rPr/>
              <w:t xml:space="preserve">Children </w:t>
            </w:r>
          </w:p>
        </w:tc>
        <w:tc>
          <w:tcPr>
            <w:tcW w:w="1871" w:type="dxa"/>
            <w:tcBorders/>
            <w:vAlign w:val="center"/>
          </w:tcPr>
          <w:p>
            <w:pPr>
              <w:pStyle w:val="TableContents"/>
              <w:bidi w:val="0"/>
              <w:spacing w:before="0" w:after="283"/>
              <w:jc w:val="start"/>
              <w:rPr/>
            </w:pPr>
            <w:r>
              <w:rPr/>
              <w:t xml:space="preserve">Only studied in 18 years or older </w:t>
            </w:r>
          </w:p>
        </w:tc>
      </w:tr>
      <w:tr>
        <w:trPr/>
        <w:tc>
          <w:tcPr>
            <w:tcW w:w="1401" w:type="dxa"/>
            <w:tcBorders/>
            <w:vAlign w:val="center"/>
          </w:tcPr>
          <w:p>
            <w:pPr>
              <w:pStyle w:val="TableContents"/>
              <w:bidi w:val="0"/>
              <w:spacing w:before="0" w:after="283"/>
              <w:jc w:val="start"/>
              <w:rPr/>
            </w:pPr>
            <w:r>
              <w:rPr/>
              <w:t xml:space="preserve">Elderly </w:t>
            </w:r>
          </w:p>
        </w:tc>
        <w:tc>
          <w:tcPr>
            <w:tcW w:w="1871" w:type="dxa"/>
            <w:tcBorders/>
            <w:vAlign w:val="center"/>
          </w:tcPr>
          <w:p>
            <w:pPr>
              <w:pStyle w:val="TableContents"/>
              <w:bidi w:val="0"/>
              <w:spacing w:before="0" w:after="283"/>
              <w:jc w:val="start"/>
              <w:rPr/>
            </w:pPr>
            <w:r>
              <w:rPr/>
              <w:t xml:space="preserve">Same as adult dosing </w:t>
            </w:r>
          </w:p>
        </w:tc>
      </w:tr>
      <w:tr>
        <w:trPr/>
        <w:tc>
          <w:tcPr>
            <w:tcW w:w="1401" w:type="dxa"/>
            <w:tcBorders/>
            <w:vAlign w:val="center"/>
          </w:tcPr>
          <w:p>
            <w:pPr>
              <w:pStyle w:val="TableContents"/>
              <w:bidi w:val="0"/>
              <w:spacing w:before="0" w:after="283"/>
              <w:jc w:val="start"/>
              <w:rPr/>
            </w:pPr>
            <w:r>
              <w:rPr/>
              <w:t xml:space="preserve">Hepatic Failure </w:t>
            </w:r>
          </w:p>
        </w:tc>
        <w:tc>
          <w:tcPr>
            <w:tcW w:w="1871" w:type="dxa"/>
            <w:tcBorders/>
            <w:vAlign w:val="center"/>
          </w:tcPr>
          <w:p>
            <w:pPr>
              <w:pStyle w:val="TableContents"/>
              <w:bidi w:val="0"/>
              <w:spacing w:before="0" w:after="283"/>
              <w:jc w:val="start"/>
              <w:rPr/>
            </w:pPr>
            <w:r>
              <w:rPr/>
              <w:t xml:space="preserve">No dose adjustments </w:t>
            </w:r>
          </w:p>
        </w:tc>
      </w:tr>
      <w:tr>
        <w:trPr/>
        <w:tc>
          <w:tcPr>
            <w:tcW w:w="1401" w:type="dxa"/>
            <w:tcBorders/>
            <w:vAlign w:val="center"/>
          </w:tcPr>
          <w:p>
            <w:pPr>
              <w:pStyle w:val="TableContents"/>
              <w:bidi w:val="0"/>
              <w:spacing w:before="0" w:after="283"/>
              <w:jc w:val="start"/>
              <w:rPr/>
            </w:pPr>
            <w:r>
              <w:rPr/>
              <w:t xml:space="preserve">Renal Impairment </w:t>
            </w:r>
          </w:p>
        </w:tc>
        <w:tc>
          <w:tcPr>
            <w:tcW w:w="1871" w:type="dxa"/>
            <w:tcBorders/>
            <w:vAlign w:val="center"/>
          </w:tcPr>
          <w:p>
            <w:pPr>
              <w:pStyle w:val="TableContents"/>
              <w:bidi w:val="0"/>
              <w:spacing w:before="0" w:after="283"/>
              <w:jc w:val="start"/>
              <w:rPr/>
            </w:pPr>
            <w:r>
              <w:rPr/>
              <w:t xml:space="preserve">No dose adjustments </w:t>
            </w:r>
          </w:p>
        </w:tc>
      </w:tr>
    </w:tbl>
    <w:p>
      <w:pPr>
        <w:pStyle w:val="TextBody"/>
        <w:bidi w:val="0"/>
        <w:spacing w:before="0" w:after="283"/>
        <w:jc w:val="start"/>
        <w:rPr/>
      </w:pPr>
      <w:r>
        <w:rPr/>
        <w:t xml:space="preserve">Adverse Effects </w:t>
      </w:r>
    </w:p>
    <w:tbl>
      <w:tblPr>
        <w:tblW w:w="3272" w:type="dxa"/>
        <w:jc w:val="start"/>
        <w:tblInd w:w="0" w:type="dxa"/>
        <w:tblLayout w:type="fixed"/>
        <w:tblCellMar>
          <w:top w:w="28" w:type="dxa"/>
          <w:start w:w="28" w:type="dxa"/>
          <w:bottom w:w="28" w:type="dxa"/>
          <w:end w:w="28" w:type="dxa"/>
        </w:tblCellMar>
      </w:tblPr>
      <w:tblGrid>
        <w:gridCol w:w="1038"/>
        <w:gridCol w:w="2234"/>
      </w:tblGrid>
      <w:tr>
        <w:trPr/>
        <w:tc>
          <w:tcPr>
            <w:tcW w:w="1038" w:type="dxa"/>
            <w:tcBorders/>
            <w:vAlign w:val="center"/>
          </w:tcPr>
          <w:p>
            <w:pPr>
              <w:pStyle w:val="TableContents"/>
              <w:bidi w:val="0"/>
              <w:spacing w:before="0" w:after="283"/>
              <w:jc w:val="start"/>
              <w:rPr/>
            </w:pPr>
            <w:r>
              <w:rPr/>
              <w:t xml:space="preserve">Adverse Effects </w:t>
            </w:r>
          </w:p>
        </w:tc>
        <w:tc>
          <w:tcPr>
            <w:tcW w:w="2234" w:type="dxa"/>
            <w:tcBorders/>
            <w:vAlign w:val="center"/>
          </w:tcPr>
          <w:p>
            <w:pPr>
              <w:pStyle w:val="TableContents"/>
              <w:bidi w:val="0"/>
              <w:jc w:val="start"/>
              <w:rPr/>
            </w:pPr>
            <w:r>
              <w:rPr/>
              <w:t xml:space="preserve">Nausea, Pyrexia, Headache, Infusion related reactions, Immunogenicity </w:t>
            </w:r>
          </w:p>
          <w:p>
            <w:pPr>
              <w:pStyle w:val="TableContents"/>
              <w:bidi w:val="0"/>
              <w:spacing w:before="0" w:after="283"/>
              <w:jc w:val="start"/>
              <w:rPr/>
            </w:pPr>
            <w:r>
              <w:rPr/>
              <w:t xml:space="preserve">Serious: Congestive Heart Failure exacerbation </w:t>
            </w:r>
          </w:p>
        </w:tc>
      </w:tr>
    </w:tbl>
    <w:p>
      <w:pPr>
        <w:pStyle w:val="TextBody"/>
        <w:bidi w:val="0"/>
        <w:spacing w:before="0" w:after="283"/>
        <w:jc w:val="start"/>
        <w:rPr/>
      </w:pPr>
      <w:r>
        <w:rPr/>
        <w:t xml:space="preserve">Special Precautions: In congestive heart failure patients, Bezlotoxumab should be reserved for patients where benefit outweighs the risk in order to reduce risk of worsening heart failure. </w:t>
      </w:r>
    </w:p>
    <w:p>
      <w:pPr>
        <w:pStyle w:val="TextBody"/>
        <w:bidi w:val="0"/>
        <w:spacing w:before="0" w:after="283"/>
        <w:jc w:val="start"/>
        <w:rPr/>
      </w:pPr>
      <w:r>
        <w:rPr/>
        <w:t xml:space="preserve">Contraindications: </w:t>
      </w:r>
    </w:p>
    <w:p>
      <w:pPr>
        <w:pStyle w:val="TextBody"/>
        <w:bidi w:val="0"/>
        <w:spacing w:before="0" w:after="283"/>
        <w:jc w:val="start"/>
        <w:rPr/>
      </w:pPr>
      <w:r>
        <w:rPr/>
        <w:t>–</w:t>
      </w:r>
      <w:r>
        <w:rPr/>
        <w:t xml:space="preserve">None </w:t>
      </w:r>
    </w:p>
    <w:p>
      <w:pPr>
        <w:pStyle w:val="TextBody"/>
        <w:bidi w:val="0"/>
        <w:spacing w:before="0" w:after="283"/>
        <w:jc w:val="start"/>
        <w:rPr/>
      </w:pPr>
      <w:r>
        <w:rPr/>
        <w:t xml:space="preserve">Drug Interactions: </w:t>
      </w:r>
    </w:p>
    <w:p>
      <w:pPr>
        <w:pStyle w:val="TextBody"/>
        <w:bidi w:val="0"/>
        <w:spacing w:before="0" w:after="283"/>
        <w:jc w:val="start"/>
        <w:rPr/>
      </w:pPr>
      <w:r>
        <w:rPr/>
        <w:t xml:space="preserve">-Belimumab: Monoclonal Antibodies may enhance the adverse/toxic effect of Belimumab(Brand name: Benlysta). </w:t>
      </w:r>
    </w:p>
    <w:p>
      <w:pPr>
        <w:pStyle w:val="TextBody"/>
        <w:bidi w:val="0"/>
        <w:spacing w:before="0" w:after="283"/>
        <w:jc w:val="start"/>
        <w:rPr/>
      </w:pPr>
      <w:r>
        <w:rPr/>
        <w:t xml:space="preserve">Drug Food interactions: </w:t>
      </w:r>
    </w:p>
    <w:p>
      <w:pPr>
        <w:pStyle w:val="TextBody"/>
        <w:bidi w:val="0"/>
        <w:spacing w:before="0" w:after="283"/>
        <w:jc w:val="start"/>
        <w:rPr/>
      </w:pPr>
      <w:r>
        <w:rPr/>
        <w:t>–</w:t>
      </w:r>
      <w:r>
        <w:rPr/>
        <w:t xml:space="preserve">None. </w:t>
      </w:r>
    </w:p>
    <w:p>
      <w:pPr>
        <w:pStyle w:val="TextBody"/>
        <w:bidi w:val="0"/>
        <w:spacing w:before="0" w:after="283"/>
        <w:jc w:val="start"/>
        <w:rPr/>
      </w:pPr>
      <w:r>
        <w:rPr/>
        <w:t xml:space="preserve">Drug Laboratory Test interactions: </w:t>
      </w:r>
    </w:p>
    <w:p>
      <w:pPr>
        <w:pStyle w:val="TextBody"/>
        <w:bidi w:val="0"/>
        <w:spacing w:before="0" w:after="283"/>
        <w:jc w:val="start"/>
        <w:rPr/>
      </w:pPr>
      <w:r>
        <w:rPr/>
        <w:t>–</w:t>
      </w:r>
      <w:r>
        <w:rPr/>
        <w:t xml:space="preserve">None. </w:t>
      </w:r>
    </w:p>
    <w:p>
      <w:pPr>
        <w:pStyle w:val="TextBody"/>
        <w:bidi w:val="0"/>
        <w:spacing w:before="0" w:after="283"/>
        <w:jc w:val="start"/>
        <w:rPr/>
      </w:pPr>
      <w:r>
        <w:rPr/>
        <w:t xml:space="preserve">Patient Safety: </w:t>
      </w:r>
    </w:p>
    <w:p>
      <w:pPr>
        <w:pStyle w:val="TextBody"/>
        <w:bidi w:val="0"/>
        <w:spacing w:before="0" w:after="283"/>
        <w:jc w:val="start"/>
        <w:rPr/>
      </w:pPr>
      <w:r>
        <w:rPr/>
        <w:t xml:space="preserve">-Zinplava has a good side effect profile with the most common side effect being nausea. The patient should tell their doctor if they have or have had a history of congestive heart failure, as it can be a serious side effect of the zinplava. </w:t>
      </w:r>
    </w:p>
    <w:p>
      <w:pPr>
        <w:pStyle w:val="TextBody"/>
        <w:bidi w:val="0"/>
        <w:spacing w:before="0" w:after="283"/>
        <w:jc w:val="start"/>
        <w:rPr/>
      </w:pPr>
      <w:r>
        <w:rPr/>
        <w:t xml:space="preserve">Monitoring Guidelines : </w:t>
      </w:r>
    </w:p>
    <w:p>
      <w:pPr>
        <w:pStyle w:val="TextBody"/>
        <w:bidi w:val="0"/>
        <w:spacing w:before="0" w:after="283"/>
        <w:jc w:val="start"/>
        <w:rPr/>
      </w:pPr>
      <w:r>
        <w:rPr/>
        <w:t>–</w:t>
      </w:r>
      <w:r>
        <w:rPr/>
        <w:t xml:space="preserve">Monitor for signs and symptoms of adverse reactions. </w:t>
      </w:r>
    </w:p>
    <w:p>
      <w:pPr>
        <w:pStyle w:val="TextBody"/>
        <w:bidi w:val="0"/>
        <w:spacing w:before="0" w:after="283"/>
        <w:jc w:val="start"/>
        <w:rPr/>
      </w:pPr>
      <w:r>
        <w:rPr/>
        <w:t xml:space="preserve">Patient Information: </w:t>
      </w:r>
    </w:p>
    <w:p>
      <w:pPr>
        <w:pStyle w:val="TextBody"/>
        <w:bidi w:val="0"/>
        <w:spacing w:before="0" w:after="283"/>
        <w:jc w:val="start"/>
        <w:rPr/>
      </w:pPr>
      <w:r>
        <w:rPr/>
        <w:t xml:space="preserve">-Zinplava doesn’t take the place of their antibacterial treatment for CDI. Patient must continue to take their treatment regimen as directed. You will need to have a doctors appointment to receive Zinplava. Administration will take one hour via IV route. If you miss an appointment, contact your doctor right away. </w:t>
      </w:r>
    </w:p>
    <w:p>
      <w:pPr>
        <w:pStyle w:val="TextBody"/>
        <w:bidi w:val="0"/>
        <w:spacing w:before="0" w:after="283"/>
        <w:jc w:val="start"/>
        <w:rPr/>
      </w:pPr>
      <w:r>
        <w:rPr/>
        <w:t xml:space="preserve">Cost Comparison: </w:t>
      </w:r>
    </w:p>
    <w:tbl>
      <w:tblPr>
        <w:tblW w:w="3272" w:type="dxa"/>
        <w:jc w:val="start"/>
        <w:tblInd w:w="0" w:type="dxa"/>
        <w:tblLayout w:type="fixed"/>
        <w:tblCellMar>
          <w:top w:w="28" w:type="dxa"/>
          <w:start w:w="28" w:type="dxa"/>
          <w:bottom w:w="28" w:type="dxa"/>
          <w:end w:w="28" w:type="dxa"/>
        </w:tblCellMar>
      </w:tblPr>
      <w:tblGrid>
        <w:gridCol w:w="1439"/>
        <w:gridCol w:w="961"/>
        <w:gridCol w:w="872"/>
      </w:tblGrid>
      <w:tr>
        <w:trPr/>
        <w:tc>
          <w:tcPr>
            <w:tcW w:w="1439" w:type="dxa"/>
            <w:tcBorders/>
            <w:vAlign w:val="center"/>
          </w:tcPr>
          <w:p>
            <w:pPr>
              <w:pStyle w:val="TableContents"/>
              <w:bidi w:val="0"/>
              <w:spacing w:before="0" w:after="283"/>
              <w:jc w:val="start"/>
              <w:rPr/>
            </w:pPr>
            <w:r>
              <w:rPr/>
              <w:t xml:space="preserve">Drug (Strength) </w:t>
            </w:r>
          </w:p>
        </w:tc>
        <w:tc>
          <w:tcPr>
            <w:tcW w:w="961" w:type="dxa"/>
            <w:tcBorders/>
            <w:vAlign w:val="center"/>
          </w:tcPr>
          <w:p>
            <w:pPr>
              <w:pStyle w:val="TableContents"/>
              <w:bidi w:val="0"/>
              <w:spacing w:before="0" w:after="283"/>
              <w:jc w:val="start"/>
              <w:rPr/>
            </w:pPr>
            <w:r>
              <w:rPr/>
              <w:t xml:space="preserve">Daily Dose/Dosing </w:t>
            </w:r>
          </w:p>
        </w:tc>
        <w:tc>
          <w:tcPr>
            <w:tcW w:w="872" w:type="dxa"/>
            <w:tcBorders/>
            <w:vAlign w:val="center"/>
          </w:tcPr>
          <w:p>
            <w:pPr>
              <w:pStyle w:val="TableContents"/>
              <w:bidi w:val="0"/>
              <w:spacing w:before="0" w:after="283"/>
              <w:jc w:val="start"/>
              <w:rPr/>
            </w:pPr>
            <w:r>
              <w:rPr/>
              <w:t xml:space="preserve">AWP </w:t>
            </w:r>
          </w:p>
        </w:tc>
      </w:tr>
      <w:tr>
        <w:trPr/>
        <w:tc>
          <w:tcPr>
            <w:tcW w:w="1439" w:type="dxa"/>
            <w:tcBorders/>
            <w:vAlign w:val="center"/>
          </w:tcPr>
          <w:p>
            <w:pPr>
              <w:pStyle w:val="TableContents"/>
              <w:bidi w:val="0"/>
              <w:spacing w:before="0" w:after="283"/>
              <w:jc w:val="start"/>
              <w:rPr/>
            </w:pPr>
            <w:r>
              <w:rPr/>
              <w:t xml:space="preserve">Zinplava 1000 mg/40 mL (25 mg/mL) </w:t>
            </w:r>
          </w:p>
        </w:tc>
        <w:tc>
          <w:tcPr>
            <w:tcW w:w="961" w:type="dxa"/>
            <w:tcBorders/>
            <w:vAlign w:val="center"/>
          </w:tcPr>
          <w:p>
            <w:pPr>
              <w:pStyle w:val="TableContents"/>
              <w:bidi w:val="0"/>
              <w:spacing w:before="0" w:after="283"/>
              <w:jc w:val="start"/>
              <w:rPr/>
            </w:pPr>
            <w:r>
              <w:rPr/>
              <w:t xml:space="preserve">10 mg/kg infusion over 1 hour </w:t>
            </w:r>
          </w:p>
        </w:tc>
        <w:tc>
          <w:tcPr>
            <w:tcW w:w="872" w:type="dxa"/>
            <w:tcBorders/>
            <w:vAlign w:val="center"/>
          </w:tcPr>
          <w:p>
            <w:pPr>
              <w:pStyle w:val="TableContents"/>
              <w:bidi w:val="0"/>
              <w:spacing w:before="0" w:after="283"/>
              <w:jc w:val="start"/>
              <w:rPr/>
            </w:pPr>
            <w:r>
              <w:rPr/>
              <w:t xml:space="preserve">$4560. 00( per vial: 1000 mg/40 ml) </w:t>
            </w:r>
          </w:p>
        </w:tc>
      </w:tr>
      <w:tr>
        <w:trPr/>
        <w:tc>
          <w:tcPr>
            <w:tcW w:w="1439" w:type="dxa"/>
            <w:tcBorders/>
            <w:vAlign w:val="center"/>
          </w:tcPr>
          <w:p>
            <w:pPr>
              <w:pStyle w:val="TableContents"/>
              <w:bidi w:val="0"/>
              <w:spacing w:before="0" w:after="283"/>
              <w:jc w:val="start"/>
              <w:rPr/>
            </w:pPr>
            <w:r>
              <w:rPr/>
              <w:t xml:space="preserve">Vancomycin HCL in dextrose IV </w:t>
            </w:r>
          </w:p>
        </w:tc>
        <w:tc>
          <w:tcPr>
            <w:tcW w:w="961" w:type="dxa"/>
            <w:tcBorders/>
            <w:vAlign w:val="center"/>
          </w:tcPr>
          <w:p>
            <w:pPr>
              <w:pStyle w:val="TableContents"/>
              <w:bidi w:val="0"/>
              <w:jc w:val="start"/>
              <w:rPr/>
            </w:pPr>
            <w:r>
              <w:rPr/>
              <w:t xml:space="preserve">-1g/200ml </w:t>
            </w:r>
          </w:p>
          <w:p>
            <w:pPr>
              <w:pStyle w:val="TableContents"/>
              <w:bidi w:val="0"/>
              <w:jc w:val="start"/>
              <w:rPr/>
            </w:pPr>
            <w:r>
              <w:rPr/>
              <w:t xml:space="preserve">-500 mg/100 ml </w:t>
            </w:r>
          </w:p>
          <w:p>
            <w:pPr>
              <w:pStyle w:val="TableContents"/>
              <w:bidi w:val="0"/>
              <w:spacing w:before="0" w:after="283"/>
              <w:jc w:val="start"/>
              <w:rPr/>
            </w:pPr>
            <w:r>
              <w:rPr/>
              <w:t xml:space="preserve">-750 mg/150 ml </w:t>
            </w:r>
          </w:p>
        </w:tc>
        <w:tc>
          <w:tcPr>
            <w:tcW w:w="872" w:type="dxa"/>
            <w:tcBorders/>
            <w:vAlign w:val="center"/>
          </w:tcPr>
          <w:p>
            <w:pPr>
              <w:pStyle w:val="TableContents"/>
              <w:bidi w:val="0"/>
              <w:jc w:val="start"/>
              <w:rPr/>
            </w:pPr>
            <w:r>
              <w:rPr/>
              <w:t xml:space="preserve">$27. 65 </w:t>
            </w:r>
          </w:p>
          <w:p>
            <w:pPr>
              <w:pStyle w:val="TableContents"/>
              <w:bidi w:val="0"/>
              <w:jc w:val="start"/>
              <w:rPr/>
            </w:pPr>
            <w:r>
              <w:rPr/>
              <w:t xml:space="preserve">$7. 92 </w:t>
            </w:r>
          </w:p>
          <w:p>
            <w:pPr>
              <w:pStyle w:val="TableContents"/>
              <w:bidi w:val="0"/>
              <w:spacing w:before="0" w:after="283"/>
              <w:jc w:val="start"/>
              <w:rPr/>
            </w:pPr>
            <w:r>
              <w:rPr/>
              <w:t xml:space="preserve">$14. 50 </w:t>
            </w:r>
          </w:p>
        </w:tc>
      </w:tr>
      <w:tr>
        <w:trPr/>
        <w:tc>
          <w:tcPr>
            <w:tcW w:w="1439" w:type="dxa"/>
            <w:tcBorders/>
            <w:vAlign w:val="center"/>
          </w:tcPr>
          <w:p>
            <w:pPr>
              <w:pStyle w:val="TableContents"/>
              <w:bidi w:val="0"/>
              <w:spacing w:before="0" w:after="283"/>
              <w:jc w:val="start"/>
              <w:rPr/>
            </w:pPr>
            <w:r>
              <w:rPr/>
              <w:t xml:space="preserve">Vancomycin HCL in NaCl IV </w:t>
            </w:r>
          </w:p>
        </w:tc>
        <w:tc>
          <w:tcPr>
            <w:tcW w:w="961" w:type="dxa"/>
            <w:tcBorders/>
            <w:vAlign w:val="center"/>
          </w:tcPr>
          <w:p>
            <w:pPr>
              <w:pStyle w:val="TableContents"/>
              <w:bidi w:val="0"/>
              <w:jc w:val="start"/>
              <w:rPr/>
            </w:pPr>
            <w:r>
              <w:rPr/>
              <w:t xml:space="preserve">-1g/200 ml </w:t>
            </w:r>
          </w:p>
          <w:p>
            <w:pPr>
              <w:pStyle w:val="TableContents"/>
              <w:bidi w:val="0"/>
              <w:jc w:val="start"/>
              <w:rPr/>
            </w:pPr>
            <w:r>
              <w:rPr/>
              <w:t xml:space="preserve">-500 mg/100 ml </w:t>
            </w:r>
          </w:p>
          <w:p>
            <w:pPr>
              <w:pStyle w:val="TableContents"/>
              <w:bidi w:val="0"/>
              <w:spacing w:before="0" w:after="283"/>
              <w:jc w:val="start"/>
              <w:rPr/>
            </w:pPr>
            <w:r>
              <w:rPr/>
              <w:t xml:space="preserve">-750 mg/150 ml </w:t>
            </w:r>
          </w:p>
        </w:tc>
        <w:tc>
          <w:tcPr>
            <w:tcW w:w="872" w:type="dxa"/>
            <w:tcBorders/>
            <w:vAlign w:val="center"/>
          </w:tcPr>
          <w:p>
            <w:pPr>
              <w:pStyle w:val="TableContents"/>
              <w:bidi w:val="0"/>
              <w:jc w:val="start"/>
              <w:rPr/>
            </w:pPr>
            <w:r>
              <w:rPr/>
              <w:t xml:space="preserve">$28. 55 </w:t>
            </w:r>
          </w:p>
          <w:p>
            <w:pPr>
              <w:pStyle w:val="TableContents"/>
              <w:bidi w:val="0"/>
              <w:jc w:val="start"/>
              <w:rPr/>
            </w:pPr>
            <w:r>
              <w:rPr/>
              <w:t xml:space="preserve">$8. 82 </w:t>
            </w:r>
          </w:p>
          <w:p>
            <w:pPr>
              <w:pStyle w:val="TableContents"/>
              <w:bidi w:val="0"/>
              <w:spacing w:before="0" w:after="283"/>
              <w:jc w:val="start"/>
              <w:rPr/>
            </w:pPr>
            <w:r>
              <w:rPr/>
              <w:t xml:space="preserve">$15. 40 </w:t>
            </w:r>
          </w:p>
        </w:tc>
      </w:tr>
      <w:tr>
        <w:trPr/>
        <w:tc>
          <w:tcPr>
            <w:tcW w:w="1439" w:type="dxa"/>
            <w:tcBorders/>
            <w:vAlign w:val="center"/>
          </w:tcPr>
          <w:p>
            <w:pPr>
              <w:pStyle w:val="TableContents"/>
              <w:bidi w:val="0"/>
              <w:spacing w:before="0" w:after="283"/>
              <w:jc w:val="start"/>
              <w:rPr/>
            </w:pPr>
            <w:r>
              <w:rPr/>
              <w:t xml:space="preserve">Vancomycin HCL IV </w:t>
            </w:r>
          </w:p>
        </w:tc>
        <w:tc>
          <w:tcPr>
            <w:tcW w:w="961" w:type="dxa"/>
            <w:tcBorders/>
            <w:vAlign w:val="center"/>
          </w:tcPr>
          <w:p>
            <w:pPr>
              <w:pStyle w:val="TableContents"/>
              <w:bidi w:val="0"/>
              <w:jc w:val="start"/>
              <w:rPr/>
            </w:pPr>
            <w:r>
              <w:rPr/>
              <w:t xml:space="preserve">10 g </w:t>
            </w:r>
          </w:p>
          <w:p>
            <w:pPr>
              <w:pStyle w:val="TableContents"/>
              <w:bidi w:val="0"/>
              <w:jc w:val="start"/>
              <w:rPr/>
            </w:pPr>
            <w:r>
              <w:rPr/>
              <w:t xml:space="preserve">500 mg </w:t>
            </w:r>
          </w:p>
          <w:p>
            <w:pPr>
              <w:pStyle w:val="TableContents"/>
              <w:bidi w:val="0"/>
              <w:jc w:val="start"/>
              <w:rPr/>
            </w:pPr>
            <w:r>
              <w:rPr/>
              <w:t xml:space="preserve">750 mg </w:t>
            </w:r>
          </w:p>
          <w:p>
            <w:pPr>
              <w:pStyle w:val="TableContents"/>
              <w:bidi w:val="0"/>
              <w:jc w:val="start"/>
              <w:rPr/>
            </w:pPr>
            <w:r>
              <w:rPr/>
              <w:t xml:space="preserve">1000 mg </w:t>
            </w:r>
          </w:p>
          <w:p>
            <w:pPr>
              <w:pStyle w:val="TableContents"/>
              <w:bidi w:val="0"/>
              <w:spacing w:before="0" w:after="283"/>
              <w:jc w:val="start"/>
              <w:rPr/>
            </w:pPr>
            <w:r>
              <w:rPr/>
              <w:t xml:space="preserve">5000 mg </w:t>
            </w:r>
          </w:p>
        </w:tc>
        <w:tc>
          <w:tcPr>
            <w:tcW w:w="872" w:type="dxa"/>
            <w:tcBorders/>
            <w:vAlign w:val="center"/>
          </w:tcPr>
          <w:p>
            <w:pPr>
              <w:pStyle w:val="TableContents"/>
              <w:bidi w:val="0"/>
              <w:jc w:val="start"/>
              <w:rPr/>
            </w:pPr>
            <w:r>
              <w:rPr/>
              <w:t xml:space="preserve">$206. 40 </w:t>
            </w:r>
          </w:p>
          <w:p>
            <w:pPr>
              <w:pStyle w:val="TableContents"/>
              <w:bidi w:val="0"/>
              <w:jc w:val="start"/>
              <w:rPr/>
            </w:pPr>
            <w:r>
              <w:rPr/>
              <w:t xml:space="preserve">$8. 40 </w:t>
            </w:r>
          </w:p>
          <w:p>
            <w:pPr>
              <w:pStyle w:val="TableContents"/>
              <w:bidi w:val="0"/>
              <w:jc w:val="start"/>
              <w:rPr/>
            </w:pPr>
            <w:r>
              <w:rPr/>
              <w:t xml:space="preserve">$11. 63 </w:t>
            </w:r>
          </w:p>
          <w:p>
            <w:pPr>
              <w:pStyle w:val="TableContents"/>
              <w:bidi w:val="0"/>
              <w:jc w:val="start"/>
              <w:rPr/>
            </w:pPr>
            <w:r>
              <w:rPr/>
              <w:t xml:space="preserve">$15. 60 </w:t>
            </w:r>
          </w:p>
          <w:p>
            <w:pPr>
              <w:pStyle w:val="TableContents"/>
              <w:bidi w:val="0"/>
              <w:spacing w:before="0" w:after="283"/>
              <w:jc w:val="start"/>
              <w:rPr/>
            </w:pPr>
            <w:r>
              <w:rPr/>
              <w:t xml:space="preserve">$85. 50 </w:t>
            </w:r>
          </w:p>
        </w:tc>
      </w:tr>
    </w:tbl>
    <w:p>
      <w:pPr>
        <w:pStyle w:val="TextBody"/>
        <w:bidi w:val="0"/>
        <w:spacing w:before="0" w:after="283"/>
        <w:jc w:val="start"/>
        <w:rPr/>
      </w:pPr>
      <w:r>
        <w:rPr/>
        <w:t xml:space="preserve">Pharmacoeconomic Analysis: </w:t>
      </w:r>
    </w:p>
    <w:p>
      <w:pPr>
        <w:pStyle w:val="TextBody"/>
        <w:bidi w:val="0"/>
        <w:spacing w:before="0" w:after="283"/>
        <w:jc w:val="start"/>
        <w:rPr/>
      </w:pPr>
      <w:r>
        <w:rPr/>
        <w:t xml:space="preserve">Problem definition: </w:t>
      </w:r>
    </w:p>
    <w:p>
      <w:pPr>
        <w:pStyle w:val="TextBody"/>
        <w:bidi w:val="0"/>
        <w:spacing w:before="0" w:after="283"/>
        <w:jc w:val="start"/>
        <w:rPr/>
      </w:pPr>
      <w:r>
        <w:rPr/>
        <w:t xml:space="preserve">-The objective of this analysis is to determine if Zinplava should be used as an add on to antimicrobial therapy. </w:t>
      </w:r>
    </w:p>
    <w:p>
      <w:pPr>
        <w:pStyle w:val="TextBody"/>
        <w:bidi w:val="0"/>
        <w:spacing w:before="0" w:after="283"/>
        <w:jc w:val="start"/>
        <w:rPr/>
      </w:pPr>
      <w:r>
        <w:rPr/>
        <w:t xml:space="preserve">Perspective: </w:t>
      </w:r>
    </w:p>
    <w:p>
      <w:pPr>
        <w:pStyle w:val="TextBody"/>
        <w:bidi w:val="0"/>
        <w:spacing w:before="0" w:after="283"/>
        <w:jc w:val="start"/>
        <w:rPr/>
      </w:pPr>
      <w:r>
        <w:rPr/>
        <w:t xml:space="preserve">-Will be from the perspective of the institution. </w:t>
      </w:r>
    </w:p>
    <w:p>
      <w:pPr>
        <w:pStyle w:val="TextBody"/>
        <w:bidi w:val="0"/>
        <w:spacing w:before="0" w:after="283"/>
        <w:jc w:val="start"/>
        <w:rPr/>
      </w:pPr>
      <w:r>
        <w:rPr/>
        <w:t xml:space="preserve">Specific treatment alternatives and outcomes: </w:t>
      </w:r>
    </w:p>
    <w:p>
      <w:pPr>
        <w:pStyle w:val="TextBody"/>
        <w:bidi w:val="0"/>
        <w:spacing w:before="0" w:after="283"/>
        <w:jc w:val="start"/>
        <w:rPr/>
      </w:pPr>
      <w:r>
        <w:rPr/>
        <w:t xml:space="preserve">-Zinplava can only be used as an add on to antimicrobial therapy for the treatment and prevention of recurrent Clostridium Difficile. The treatment options are either antimicrobial therapy without zinplava and antimicrobial therapy with zinplava. </w:t>
      </w:r>
    </w:p>
    <w:p>
      <w:pPr>
        <w:pStyle w:val="TextBody"/>
        <w:bidi w:val="0"/>
        <w:spacing w:before="0" w:after="283"/>
        <w:jc w:val="start"/>
        <w:rPr/>
      </w:pPr>
      <w:r>
        <w:rPr/>
        <w:t xml:space="preserve">Pharmacoeconomic model: </w:t>
      </w:r>
    </w:p>
    <w:p>
      <w:pPr>
        <w:pStyle w:val="TextBody"/>
        <w:bidi w:val="0"/>
        <w:spacing w:before="0" w:after="283"/>
        <w:jc w:val="start"/>
        <w:rPr/>
      </w:pPr>
      <w:r>
        <w:rPr/>
        <w:t>–</w:t>
      </w:r>
      <w:r>
        <w:rPr/>
        <w:t xml:space="preserve">Number need to treat with zinplava will be used in order to detail the effects that zinplava has in order to make a realistic judgement as to whether or not zinplava is worth the extra cost to add on therapy in terms of determining if adding on zinplava can be justified from an economic perspective. . </w:t>
      </w:r>
    </w:p>
    <w:p>
      <w:pPr>
        <w:pStyle w:val="TextBody"/>
        <w:bidi w:val="0"/>
        <w:spacing w:before="0" w:after="283"/>
        <w:jc w:val="start"/>
        <w:rPr/>
      </w:pPr>
      <w:r>
        <w:rPr/>
        <w:t xml:space="preserve">-NNT (Vancomycin and Zinplava) = 5. 5 </w:t>
      </w:r>
    </w:p>
    <w:tbl>
      <w:tblPr>
        <w:tblW w:w="3272" w:type="dxa"/>
        <w:jc w:val="start"/>
        <w:tblInd w:w="0" w:type="dxa"/>
        <w:tblLayout w:type="fixed"/>
        <w:tblCellMar>
          <w:top w:w="28" w:type="dxa"/>
          <w:start w:w="28" w:type="dxa"/>
          <w:bottom w:w="28" w:type="dxa"/>
          <w:end w:w="28" w:type="dxa"/>
        </w:tblCellMar>
      </w:tblPr>
      <w:tblGrid>
        <w:gridCol w:w="1506"/>
        <w:gridCol w:w="1766"/>
      </w:tblGrid>
      <w:tr>
        <w:trPr/>
        <w:tc>
          <w:tcPr>
            <w:tcW w:w="1506" w:type="dxa"/>
            <w:tcBorders/>
            <w:vAlign w:val="center"/>
          </w:tcPr>
          <w:p>
            <w:pPr>
              <w:pStyle w:val="TableContents"/>
              <w:bidi w:val="0"/>
              <w:spacing w:before="0" w:after="283"/>
              <w:jc w:val="start"/>
              <w:rPr/>
            </w:pPr>
            <w:r>
              <w:rPr/>
              <w:t xml:space="preserve">Drugs: </w:t>
            </w:r>
          </w:p>
        </w:tc>
        <w:tc>
          <w:tcPr>
            <w:tcW w:w="1766" w:type="dxa"/>
            <w:tcBorders/>
            <w:vAlign w:val="center"/>
          </w:tcPr>
          <w:p>
            <w:pPr>
              <w:pStyle w:val="TableContents"/>
              <w:bidi w:val="0"/>
              <w:spacing w:before="0" w:after="283"/>
              <w:jc w:val="start"/>
              <w:rPr/>
            </w:pPr>
            <w:r>
              <w:rPr/>
              <w:t xml:space="preserve">Average Cost: </w:t>
            </w:r>
          </w:p>
        </w:tc>
      </w:tr>
      <w:tr>
        <w:trPr/>
        <w:tc>
          <w:tcPr>
            <w:tcW w:w="1506" w:type="dxa"/>
            <w:tcBorders/>
            <w:vAlign w:val="center"/>
          </w:tcPr>
          <w:p>
            <w:pPr>
              <w:pStyle w:val="TableContents"/>
              <w:bidi w:val="0"/>
              <w:spacing w:before="0" w:after="283"/>
              <w:jc w:val="start"/>
              <w:rPr/>
            </w:pPr>
            <w:r>
              <w:rPr/>
              <w:t xml:space="preserve">Vancomycin </w:t>
            </w:r>
          </w:p>
        </w:tc>
        <w:tc>
          <w:tcPr>
            <w:tcW w:w="1766" w:type="dxa"/>
            <w:tcBorders/>
            <w:vAlign w:val="center"/>
          </w:tcPr>
          <w:p>
            <w:pPr>
              <w:pStyle w:val="TableContents"/>
              <w:bidi w:val="0"/>
              <w:spacing w:before="0" w:after="283"/>
              <w:jc w:val="start"/>
              <w:rPr/>
            </w:pPr>
            <w:r>
              <w:rPr/>
              <w:t xml:space="preserve">$25. 6 (per 1 gram) </w:t>
            </w:r>
          </w:p>
        </w:tc>
      </w:tr>
      <w:tr>
        <w:trPr/>
        <w:tc>
          <w:tcPr>
            <w:tcW w:w="1506" w:type="dxa"/>
            <w:tcBorders/>
            <w:vAlign w:val="center"/>
          </w:tcPr>
          <w:p>
            <w:pPr>
              <w:pStyle w:val="TableContents"/>
              <w:bidi w:val="0"/>
              <w:spacing w:before="0" w:after="283"/>
              <w:jc w:val="start"/>
              <w:rPr/>
            </w:pPr>
            <w:r>
              <w:rPr/>
              <w:t xml:space="preserve">Vancomycin + Zinplava </w:t>
            </w:r>
          </w:p>
        </w:tc>
        <w:tc>
          <w:tcPr>
            <w:tcW w:w="1766" w:type="dxa"/>
            <w:tcBorders/>
            <w:vAlign w:val="center"/>
          </w:tcPr>
          <w:p>
            <w:pPr>
              <w:pStyle w:val="TableContents"/>
              <w:bidi w:val="0"/>
              <w:spacing w:before="0" w:after="283"/>
              <w:jc w:val="start"/>
              <w:rPr/>
            </w:pPr>
            <w:r>
              <w:rPr/>
              <w:t xml:space="preserve">$25. 6 (per 1 gram) + $4, 560 (1000mg/40 ml) = $4, 585. 6 </w:t>
            </w:r>
          </w:p>
        </w:tc>
      </w:tr>
    </w:tbl>
    <w:p>
      <w:pPr>
        <w:pStyle w:val="TextBody"/>
        <w:bidi w:val="0"/>
        <w:spacing w:before="0" w:after="283"/>
        <w:jc w:val="start"/>
        <w:rPr/>
      </w:pPr>
      <w:r>
        <w:rPr/>
        <w:t xml:space="preserve">[Note to reader: Number needed to treat data was extrapolated from a randomized, double blind controlled study using 200 patients during a phase 2 trial. Recurrence of C. Diff. (measured after 84 days) between the monoclonal antibody and placebo group was 7% and 25%, respectively with a 95% confidence interval and a p-value &lt;0. 001. Since zinplava is a new drug to the market (FDA approved June 2016) there is not a wide variety of economic analysis available at this time. ] </w:t>
      </w:r>
    </w:p>
    <w:p>
      <w:pPr>
        <w:pStyle w:val="TextBody"/>
        <w:bidi w:val="0"/>
        <w:spacing w:before="0" w:after="283"/>
        <w:jc w:val="start"/>
        <w:rPr/>
      </w:pPr>
      <w:r>
        <w:rPr/>
        <w:t xml:space="preserve">Presented by Rafi Saadallah, Anthony Hill, Alex Nedved, Angel Withrow to the Pharmacy and Therapeutics committee on March 10th, 2017 </w:t>
      </w:r>
    </w:p>
    <w:p>
      <w:pPr>
        <w:pStyle w:val="TextBody"/>
        <w:bidi w:val="0"/>
        <w:spacing w:before="0" w:after="283"/>
        <w:jc w:val="start"/>
        <w:rPr/>
      </w:pPr>
      <w:r>
        <w:rPr/>
        <w:t xml:space="preserve">Reference: </w:t>
      </w:r>
    </w:p>
    <w:p>
      <w:pPr>
        <w:pStyle w:val="TextBody"/>
        <w:bidi w:val="0"/>
        <w:spacing w:before="0" w:after="283"/>
        <w:jc w:val="start"/>
        <w:rPr/>
      </w:pPr>
      <w:r>
        <w:rPr/>
        <w:t xml:space="preserve">Lowy I, Molrine DC, Leav BA, Blair BM, Baxter R, Gerding DN, Nichol G, Thomas WD, Jr., Leney M, Sloan S, Hay CA, Ambrosino DM: Treatment with monoclonal antibodies against Clostridium difficile toxins. N Engl J Med 2010, 362: 197-205.(Economic analysis refrence)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https://assignbuster.com/bezlotoxumab-zinplava-with-mayo-clinic/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Bezlotoxumab (zinplava) with mayo clinic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zlotoxumab-zinplava-with-mayo-clin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Bezlotoxumab (zinplava) with mayo clinic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Bezlotoxumab (zinplava) with mayo clinic</dc:title>
  <dc:subject>Others;</dc:subject>
  <dc:creator>AssignBuster</dc:creator>
  <cp:keywords/>
  <dc:description>Zinplava is currently the only drug in its class because it's currently the only drug in the market that prevents the recurrence of CDI instead of tre...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