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Regent hotel: case study on pricing and weaknesses</w:t>
        </w:r>
      </w:hyperlink>
      <w:bookmarkEnd w:id="0"/>
    </w:p>
    <w:p>
      <w:r>
        <w:br w:type="page"/>
      </w:r>
    </w:p>
    <w:p>
      <w:pPr>
        <w:pStyle w:val="Heading2"/>
        <w:bidi w:val="0"/>
        <w:spacing w:before="200" w:after="120"/>
        <w:jc w:val="start"/>
        <w:rPr/>
      </w:pPr>
      <w:r>
        <w:rPr/>
        <w:t xml:space="preserve">The Regent Hotel Case Study </w:t>
      </w:r>
    </w:p>
    <w:p>
      <w:pPr>
        <w:pStyle w:val="Heading2"/>
        <w:bidi w:val="0"/>
        <w:jc w:val="start"/>
        <w:rPr/>
      </w:pPr>
      <w:r>
        <w:rPr/>
        <w:t xml:space="preserve">1. Pricing Strategy Review – Key Issues </w:t>
      </w:r>
    </w:p>
    <w:p>
      <w:pPr>
        <w:pStyle w:val="TextBody"/>
        <w:bidi w:val="0"/>
        <w:spacing w:before="0" w:after="283"/>
        <w:jc w:val="start"/>
        <w:rPr/>
      </w:pPr>
      <w:r>
        <w:rPr/>
        <w:t xml:space="preserve">There are several key issues which must be considered when determining the pricing strategy for a hotel. The main variables that affect hotel room pricing in general will include transient demand at the location, for example during festivals, conferences or major tourist occasions, and also whether it is currently high, low, or ‘ shoulder’ season. Weekly arrival or departure patterns can also affect occupancy: there may, for example be many spare rooms on a Thursday night, or even worse, excessive demand on one night of the week, due to overlap from arriving and departing guests, which means that rooms may end up being empty on the surrounding days. For example, if guests staying from Monday to Friday choose to also stay Friday night, it may make the rooms unsuitable for people who want to stay over the weekend, thus leaving a shortage of rooms on Saturdays. </w:t>
      </w:r>
    </w:p>
    <w:p>
      <w:pPr>
        <w:pStyle w:val="TextBody"/>
        <w:bidi w:val="0"/>
        <w:spacing w:before="0" w:after="283"/>
        <w:jc w:val="start"/>
        <w:rPr/>
      </w:pPr>
      <w:r>
        <w:rPr/>
        <w:t xml:space="preserve">Equally, the ratio of guest rooms to meeting, or conference, rooms can dictate pricing strategy, as if the hotel has plenty of guest rooms, but little conference space, it may have to offer excessive discounts to attract conference guests, but in the opposing scenario, it may be able to charge a premium. In a similar vein, a hotel with a successful history of holding meetings or conferences, and thus a good reputation in corporate circles can also command a premium for business functions. The potential for incremental revenue from the restaurant and bar areas should also impact on pricing, both for the rooms and the facilities themselves. Should a hotel have a high proportion of guests using its additional facilities, then it can use these revenues to subsidise the cost of the rooms, thus enabling it to lower prices and thus attract more guests, who will ideally also use the facilities. However, should the facilities be of poor quality, or too expensive, then the price of the rooms may have to be raised to compensate for the shortfall. A final factor to consider is the potential for risk to the hotel, such as the likelihood of cancellations or damages, which can be mitigated to some extent by including cancellation and attrition clauses in the terms and conditions, provided these are made clear to guests at the time of booking. </w:t>
      </w:r>
    </w:p>
    <w:p>
      <w:pPr>
        <w:pStyle w:val="TextBody"/>
        <w:bidi w:val="0"/>
        <w:spacing w:before="0" w:after="283"/>
        <w:jc w:val="start"/>
        <w:rPr/>
      </w:pPr>
      <w:r>
        <w:rPr/>
        <w:t xml:space="preserve">Pricing strategies at major brand hotels also tend to fluctuate more with the market, because of their size and power. Serlen (2004) reported that many of the major brands lowered rates dramatically during the recent period of difficulty for the industry, but these rates were unprofitable, and thus the hotels couldn’t maintain those rates and be profitable. As such, most hotels chose to keep rates more stable, sacrificing some revenue during that period, but meaning that they won’t be the same pressure of profitability once demand has returned. However, a Datamonitor Company Profile (2005) of the market in which the Hyatt and other premium hotels, such as the Regent, operate; has shown that pricing power within the market is currently heavily influenced by the hotels’ capacities, and also the pricing decisions of competitors. The downturn in the travel industry has led to a competitive environment where supply currently outstrips demand. Therefore the market as whole, ranging from low costs leisure up to the premium end in which the Regent operates, is currently dictated by the pricing strategies of competitors. Competitors’ actions generally within the current climate could cause supply growth to outstrip demand growth, which could be disastrous for the Regent, and thus attention should be paid to these considerations. </w:t>
      </w:r>
    </w:p>
    <w:p>
      <w:pPr>
        <w:pStyle w:val="TextBody"/>
        <w:bidi w:val="0"/>
        <w:spacing w:before="0" w:after="283"/>
        <w:jc w:val="start"/>
        <w:rPr/>
      </w:pPr>
      <w:r>
        <w:rPr/>
        <w:t xml:space="preserve">Specifically for the Regent, the refurbishing of the conference rooms has enabled it to offer high quality corporate facilities, which should enable it to charge a premium for conferences, over and above what other hotels in the region can charge. However, the opening of the Edinburgh International Conference Centre could lead to problems for the hotel, as it appears of offer far superior facilities to that which the Regent, or indeed any hotel, could possibly offer. Therefore whilst the Regent can still hope to gain significant conference revenue, especially during high season when the EICC will be in great demand, it may not be able to rely on conference revenue as a key stream. However, given that delegates who use the EICC still need to be accommodated, the Regent could potentially attempt to negotiate with the Edinburgh Convention Bureau to become the hotel of choice for conferences using the Centre, and this would enable it to charge the desired premium. </w:t>
      </w:r>
    </w:p>
    <w:p>
      <w:pPr>
        <w:pStyle w:val="TextBody"/>
        <w:bidi w:val="0"/>
        <w:spacing w:before="0" w:after="283"/>
        <w:jc w:val="start"/>
        <w:rPr/>
      </w:pPr>
      <w:r>
        <w:rPr/>
        <w:t xml:space="preserve">With regards to the additional facilities, such as the bar and restaurant, given that there is currently not a high proportion of guests using these facilities, it is difficult to justify using them in the pricing strategies of the rooms, as reducing the price of rooms to attract more guests will not necessarily greatly affect the revenue generated by the facilities. However, it is important to review the pricing strategy of the bar and restaurant, to ensure that these are not priced so high as to drive away guests, and possibly including some meals in the price of the room could be a good way to increase demand for the rooms and the additional facilities, whilst potentially also slightly increasing the price. </w:t>
      </w:r>
    </w:p>
    <w:p>
      <w:pPr>
        <w:pStyle w:val="TextBody"/>
        <w:bidi w:val="0"/>
        <w:spacing w:before="0" w:after="283"/>
        <w:jc w:val="start"/>
        <w:rPr/>
      </w:pPr>
      <w:r>
        <w:rPr/>
        <w:t xml:space="preserve">Finally, it is important to determine whether the customer dissatisfaction is being caused by pricing at all, and also whether other hotels in the city are pursuing aggressive pricing strategies which are taking demand away from the Regent. If this is the case, then it may be necessary to accept some short term losses in order to fight back and prevent the Regent Hotel losing so much business that it has a stigma attached to it, and is unable to attract any guests back, however this is likely to be a drawn out and costly process. </w:t>
      </w:r>
    </w:p>
    <w:p>
      <w:pPr>
        <w:pStyle w:val="Heading2"/>
        <w:bidi w:val="0"/>
        <w:jc w:val="start"/>
        <w:rPr/>
      </w:pPr>
      <w:r>
        <w:rPr/>
        <w:t xml:space="preserve">2. Front Office Operation – Key Issues </w:t>
      </w:r>
    </w:p>
    <w:p>
      <w:pPr>
        <w:pStyle w:val="TextBody"/>
        <w:bidi w:val="0"/>
        <w:spacing w:before="0" w:after="283"/>
        <w:jc w:val="start"/>
        <w:rPr/>
      </w:pPr>
      <w:r>
        <w:rPr/>
        <w:t xml:space="preserve">There are several other key issues concerning the hotel that it is vital to assess if the brand is going to be developed and revitalised in the eyes of the public. Using the SWOT analysis (Appendix One) Firstly, it is important to determine which of the first three identified weaknesses are causing the decline in customer satisfaction, and ensure that remedying this is given highest priority in the coming refurbishment. However, regardless of which of the identified weaknesses are most responsible for the sharp decline in customer satisfaction, it is vital that all weaknesses are addressed as part of the refurbishment and handover process in general. </w:t>
      </w:r>
    </w:p>
    <w:p>
      <w:pPr>
        <w:pStyle w:val="TextBody"/>
        <w:bidi w:val="0"/>
        <w:spacing w:before="0" w:after="283"/>
        <w:jc w:val="start"/>
        <w:rPr/>
      </w:pPr>
      <w:r>
        <w:rPr/>
        <w:t xml:space="preserve">Firstly, the outdated financial and reporting systems need to be replaced with an integrated solution, which connects all the different departments, and facilitates the transfer of information between the various heads of the departments. This system should enable food and beverage staff to input orders directly into the cash registers in the bars and restaurants, and these orders should then be transferred directly onto the relevant customer’s bill, perhaps using the customer’s signature, or their room key, as proof of their identity and room number. A similar system should also be put in place for the mini bars, enabling housekeeping to update the charges on the mini bar bills as they replenish the bars every day. </w:t>
      </w:r>
    </w:p>
    <w:p>
      <w:pPr>
        <w:pStyle w:val="TextBody"/>
        <w:bidi w:val="0"/>
        <w:spacing w:before="0" w:after="283"/>
        <w:jc w:val="start"/>
        <w:rPr/>
      </w:pPr>
      <w:r>
        <w:rPr/>
        <w:t xml:space="preserve">An improvement to the reporting system would also enable staff to check the usual and predicted levels of occupancy when taking group bookings, thus enabling them to charge the relevant amounts for each period. This would help avoid the potential for offering groups too great a discount during busy periods, and would also help let staff know to when offer larger discounts, such as during quiet periods. Equally, sales and financial data and targets for Front Office, Sales and Food and Beverage could be shared across the three departments, so that each department knows what other departments are doing, and also what all three departments are aiming for. This would enable each department to maximise its own contribution to the hotel’s revenue, without adversely affecting the performance of the other relevant departments, for example Sales would know not to offer a cheaper meal option to large groups if the Restaurant is likely to be very busy for that period. </w:t>
      </w:r>
    </w:p>
    <w:p>
      <w:pPr>
        <w:pStyle w:val="TextBody"/>
        <w:bidi w:val="0"/>
        <w:spacing w:before="0" w:after="283"/>
        <w:jc w:val="start"/>
        <w:rPr/>
      </w:pPr>
      <w:r>
        <w:rPr/>
        <w:t xml:space="preserve">The question of modernising and replacing the linen appears to be the main reason for the refurbishment, and Andrew Brennan should have this well in hand. However, no mention has been made of plans to refit or expand the laundry facilities, which is a key consideration, as not only does it appear to be affecting guest satisfaction, but it is also resulting in insurance claims, which drive up costs, and thus put a drain on the hotel’s profits. The whole laundry operation should be reviewed, and its capacity should be increased so that, not only can it handle the demands placed on it by the normal running of the hotel, but also to ensure that it has sufficient spare capacity to complete all laundry requests to a high standard and on time. </w:t>
      </w:r>
    </w:p>
    <w:p>
      <w:pPr>
        <w:pStyle w:val="TextBody"/>
        <w:bidi w:val="0"/>
        <w:spacing w:before="0" w:after="283"/>
        <w:jc w:val="start"/>
        <w:rPr/>
      </w:pPr>
      <w:r>
        <w:rPr/>
        <w:t xml:space="preserve">The threats arising from the slow tourist industry, and the loss of bookings from Milton Hotels could be problematic, however provided the customer satisfaction issues can be resolved, word of mouth, together with a successful refurbishment and re-launch of the hotel should be sufficient to attract customers back, and the number of bookings appear to be picking up, as can be seen from the trendline on the room occupancy graph in Appendix Two. However, the final main issue to be addressed is that of revenue maximisation. As can be seen from the financial analysis (Appendix Two), only in the highest season does the hotel come close to completely using all its rooms, and occupancy often drops below the 60% mark. Equally, even in the busy months of June, July and August, total revenue realised is less that half that if all the rooms were charged at their full rate. As such, it is vital to reassess the marketing and advertising used to attract people during high season, as not only should rooms be as fully occupied as possible, but they should also attract as high a price per room as possible, and currently this is not the case.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Serlen, B. (2004) </w:t>
      </w:r>
      <w:r>
        <w:rPr>
          <w:rStyle w:val="Emphasis"/>
        </w:rPr>
        <w:t xml:space="preserve">Hotel Programs Grow. </w:t>
      </w:r>
      <w:r>
        <w:rPr/>
        <w:t xml:space="preserve">Business Travel News; Vol. 21, Issue 15, p. 1. </w:t>
      </w:r>
    </w:p>
    <w:p>
      <w:pPr>
        <w:pStyle w:val="TextBody"/>
        <w:numPr>
          <w:ilvl w:val="0"/>
          <w:numId w:val="2"/>
        </w:numPr>
        <w:tabs>
          <w:tab w:val="clear" w:pos="1134"/>
          <w:tab w:val="left" w:pos="707" w:leader="none"/>
        </w:tabs>
        <w:bidi w:val="0"/>
        <w:ind w:start="707" w:hanging="283"/>
        <w:jc w:val="start"/>
        <w:rPr/>
      </w:pPr>
      <w:r>
        <w:rPr/>
        <w:t xml:space="preserve">Datamonitor Company Profiles (2005) </w:t>
      </w:r>
      <w:r>
        <w:rPr>
          <w:rStyle w:val="Emphasis"/>
        </w:rPr>
        <w:t xml:space="preserve">Global Hyatt Corporation – SWOT Analysis. </w:t>
      </w:r>
    </w:p>
    <w:p>
      <w:pPr>
        <w:pStyle w:val="Heading2"/>
        <w:bidi w:val="0"/>
        <w:jc w:val="start"/>
        <w:rPr/>
      </w:pPr>
      <w:r>
        <w:rPr/>
        <w:t xml:space="preserve">Appendix One: SWOT Analysis </w:t>
      </w:r>
    </w:p>
    <w:p>
      <w:pPr>
        <w:pStyle w:val="TextBody"/>
        <w:bidi w:val="0"/>
        <w:jc w:val="start"/>
        <w:rPr>
          <w:u w:val="single"/>
        </w:rPr>
      </w:pPr>
      <w:r>
        <w:rPr>
          <w:u w:val="single"/>
        </w:rPr>
        <w:t xml:space="preserve">Strengths </w:t>
      </w:r>
    </w:p>
    <w:p>
      <w:pPr>
        <w:pStyle w:val="TextBody"/>
        <w:numPr>
          <w:ilvl w:val="0"/>
          <w:numId w:val="3"/>
        </w:numPr>
        <w:tabs>
          <w:tab w:val="clear" w:pos="1134"/>
          <w:tab w:val="left" w:pos="707" w:leader="none"/>
        </w:tabs>
        <w:bidi w:val="0"/>
        <w:spacing w:before="0" w:after="0"/>
        <w:ind w:start="707" w:hanging="283"/>
        <w:jc w:val="start"/>
        <w:rPr/>
      </w:pPr>
      <w:r>
        <w:rPr/>
        <w:t xml:space="preserve">Beautiful Victorian architecture </w:t>
      </w:r>
    </w:p>
    <w:p>
      <w:pPr>
        <w:pStyle w:val="TextBody"/>
        <w:numPr>
          <w:ilvl w:val="0"/>
          <w:numId w:val="3"/>
        </w:numPr>
        <w:tabs>
          <w:tab w:val="clear" w:pos="1134"/>
          <w:tab w:val="left" w:pos="707" w:leader="none"/>
        </w:tabs>
        <w:bidi w:val="0"/>
        <w:spacing w:before="0" w:after="0"/>
        <w:ind w:start="707" w:hanging="283"/>
        <w:jc w:val="start"/>
        <w:rPr/>
      </w:pPr>
      <w:r>
        <w:rPr/>
        <w:t xml:space="preserve">Excellent location with fine views. </w:t>
      </w:r>
    </w:p>
    <w:p>
      <w:pPr>
        <w:pStyle w:val="TextBody"/>
        <w:numPr>
          <w:ilvl w:val="0"/>
          <w:numId w:val="3"/>
        </w:numPr>
        <w:tabs>
          <w:tab w:val="clear" w:pos="1134"/>
          <w:tab w:val="left" w:pos="707" w:leader="none"/>
        </w:tabs>
        <w:bidi w:val="0"/>
        <w:spacing w:before="0" w:after="0"/>
        <w:ind w:start="707" w:hanging="283"/>
        <w:jc w:val="start"/>
        <w:rPr/>
      </w:pPr>
      <w:r>
        <w:rPr/>
        <w:t xml:space="preserve">Modern food and beverage areas </w:t>
      </w:r>
    </w:p>
    <w:p>
      <w:pPr>
        <w:pStyle w:val="TextBody"/>
        <w:numPr>
          <w:ilvl w:val="0"/>
          <w:numId w:val="3"/>
        </w:numPr>
        <w:tabs>
          <w:tab w:val="clear" w:pos="1134"/>
          <w:tab w:val="left" w:pos="707" w:leader="none"/>
        </w:tabs>
        <w:bidi w:val="0"/>
        <w:ind w:start="707" w:hanging="283"/>
        <w:jc w:val="start"/>
        <w:rPr/>
      </w:pPr>
      <w:r>
        <w:rPr/>
        <w:t xml:space="preserve">Prestigious banqueting and conference areas. </w:t>
      </w:r>
    </w:p>
    <w:p>
      <w:pPr>
        <w:pStyle w:val="TextBody"/>
        <w:bidi w:val="0"/>
        <w:jc w:val="start"/>
        <w:rPr>
          <w:u w:val="single"/>
        </w:rPr>
      </w:pPr>
      <w:r>
        <w:rPr>
          <w:u w:val="single"/>
        </w:rPr>
        <w:t xml:space="preserve">Weaknesses </w:t>
      </w:r>
    </w:p>
    <w:p>
      <w:pPr>
        <w:pStyle w:val="TextBody"/>
        <w:numPr>
          <w:ilvl w:val="0"/>
          <w:numId w:val="4"/>
        </w:numPr>
        <w:tabs>
          <w:tab w:val="clear" w:pos="1134"/>
          <w:tab w:val="left" w:pos="707" w:leader="none"/>
        </w:tabs>
        <w:bidi w:val="0"/>
        <w:spacing w:before="0" w:after="0"/>
        <w:ind w:start="707" w:hanging="283"/>
        <w:jc w:val="start"/>
        <w:rPr/>
      </w:pPr>
      <w:r>
        <w:rPr/>
        <w:t xml:space="preserve">Outdated financial and reporting systems. </w:t>
      </w:r>
    </w:p>
    <w:p>
      <w:pPr>
        <w:pStyle w:val="TextBody"/>
        <w:numPr>
          <w:ilvl w:val="0"/>
          <w:numId w:val="4"/>
        </w:numPr>
        <w:tabs>
          <w:tab w:val="clear" w:pos="1134"/>
          <w:tab w:val="left" w:pos="707" w:leader="none"/>
        </w:tabs>
        <w:bidi w:val="0"/>
        <w:spacing w:before="0" w:after="0"/>
        <w:ind w:start="707" w:hanging="283"/>
        <w:jc w:val="start"/>
        <w:rPr/>
      </w:pPr>
      <w:r>
        <w:rPr/>
        <w:t xml:space="preserve">High need for modernisation of rooms and replacement of linen. </w:t>
      </w:r>
    </w:p>
    <w:p>
      <w:pPr>
        <w:pStyle w:val="TextBody"/>
        <w:numPr>
          <w:ilvl w:val="0"/>
          <w:numId w:val="4"/>
        </w:numPr>
        <w:tabs>
          <w:tab w:val="clear" w:pos="1134"/>
          <w:tab w:val="left" w:pos="707" w:leader="none"/>
        </w:tabs>
        <w:bidi w:val="0"/>
        <w:spacing w:before="0" w:after="0"/>
        <w:ind w:start="707" w:hanging="283"/>
        <w:jc w:val="start"/>
        <w:rPr/>
      </w:pPr>
      <w:r>
        <w:rPr/>
        <w:t xml:space="preserve">Inadequate laundry facilities. </w:t>
      </w:r>
    </w:p>
    <w:p>
      <w:pPr>
        <w:pStyle w:val="TextBody"/>
        <w:numPr>
          <w:ilvl w:val="0"/>
          <w:numId w:val="4"/>
        </w:numPr>
        <w:tabs>
          <w:tab w:val="clear" w:pos="1134"/>
          <w:tab w:val="left" w:pos="707" w:leader="none"/>
        </w:tabs>
        <w:bidi w:val="0"/>
        <w:ind w:start="707" w:hanging="283"/>
        <w:jc w:val="start"/>
        <w:rPr/>
      </w:pPr>
      <w:r>
        <w:rPr/>
        <w:t xml:space="preserve">Lack of revenue maximisation across all departments. </w:t>
      </w:r>
    </w:p>
    <w:p>
      <w:pPr>
        <w:pStyle w:val="TextBody"/>
        <w:bidi w:val="0"/>
        <w:jc w:val="start"/>
        <w:rPr>
          <w:u w:val="single"/>
        </w:rPr>
      </w:pPr>
      <w:r>
        <w:rPr>
          <w:u w:val="single"/>
        </w:rPr>
        <w:t xml:space="preserve">Opportunities </w:t>
      </w:r>
    </w:p>
    <w:p>
      <w:pPr>
        <w:pStyle w:val="TextBody"/>
        <w:numPr>
          <w:ilvl w:val="0"/>
          <w:numId w:val="5"/>
        </w:numPr>
        <w:tabs>
          <w:tab w:val="clear" w:pos="1134"/>
          <w:tab w:val="left" w:pos="707" w:leader="none"/>
        </w:tabs>
        <w:bidi w:val="0"/>
        <w:spacing w:before="0" w:after="0"/>
        <w:ind w:start="707" w:hanging="283"/>
        <w:jc w:val="start"/>
        <w:rPr/>
      </w:pPr>
      <w:r>
        <w:rPr/>
        <w:t xml:space="preserve">Potential to house EICC guests. </w:t>
      </w:r>
    </w:p>
    <w:p>
      <w:pPr>
        <w:pStyle w:val="TextBody"/>
        <w:numPr>
          <w:ilvl w:val="0"/>
          <w:numId w:val="5"/>
        </w:numPr>
        <w:tabs>
          <w:tab w:val="clear" w:pos="1134"/>
          <w:tab w:val="left" w:pos="707" w:leader="none"/>
        </w:tabs>
        <w:bidi w:val="0"/>
        <w:spacing w:before="0" w:after="0"/>
        <w:ind w:start="707" w:hanging="283"/>
        <w:jc w:val="start"/>
        <w:rPr/>
      </w:pPr>
      <w:r>
        <w:rPr/>
        <w:t xml:space="preserve">Growing importance of Edinburgh. </w:t>
      </w:r>
    </w:p>
    <w:p>
      <w:pPr>
        <w:pStyle w:val="TextBody"/>
        <w:numPr>
          <w:ilvl w:val="0"/>
          <w:numId w:val="5"/>
        </w:numPr>
        <w:tabs>
          <w:tab w:val="clear" w:pos="1134"/>
          <w:tab w:val="left" w:pos="707" w:leader="none"/>
        </w:tabs>
        <w:bidi w:val="0"/>
        <w:ind w:start="707" w:hanging="283"/>
        <w:jc w:val="start"/>
        <w:rPr/>
      </w:pPr>
      <w:r>
        <w:rPr/>
        <w:t xml:space="preserve">Chance to completely refurbish and re-launch hotel. </w:t>
      </w:r>
    </w:p>
    <w:p>
      <w:pPr>
        <w:pStyle w:val="TextBody"/>
        <w:bidi w:val="0"/>
        <w:jc w:val="start"/>
        <w:rPr>
          <w:u w:val="single"/>
        </w:rPr>
      </w:pPr>
      <w:r>
        <w:rPr>
          <w:u w:val="single"/>
        </w:rPr>
        <w:t xml:space="preserve">Threats </w:t>
      </w:r>
    </w:p>
    <w:p>
      <w:pPr>
        <w:pStyle w:val="TextBody"/>
        <w:numPr>
          <w:ilvl w:val="0"/>
          <w:numId w:val="6"/>
        </w:numPr>
        <w:tabs>
          <w:tab w:val="clear" w:pos="1134"/>
          <w:tab w:val="left" w:pos="707" w:leader="none"/>
        </w:tabs>
        <w:bidi w:val="0"/>
        <w:spacing w:before="0" w:after="0"/>
        <w:ind w:start="707" w:hanging="283"/>
        <w:jc w:val="start"/>
        <w:rPr/>
      </w:pPr>
      <w:r>
        <w:rPr/>
        <w:t xml:space="preserve">Declining customer satisfaction. </w:t>
      </w:r>
    </w:p>
    <w:p>
      <w:pPr>
        <w:pStyle w:val="TextBody"/>
        <w:numPr>
          <w:ilvl w:val="0"/>
          <w:numId w:val="6"/>
        </w:numPr>
        <w:tabs>
          <w:tab w:val="clear" w:pos="1134"/>
          <w:tab w:val="left" w:pos="707" w:leader="none"/>
        </w:tabs>
        <w:bidi w:val="0"/>
        <w:spacing w:before="0" w:after="0"/>
        <w:ind w:start="707" w:hanging="283"/>
        <w:jc w:val="start"/>
        <w:rPr/>
      </w:pPr>
      <w:r>
        <w:rPr/>
        <w:t xml:space="preserve">Slow tourist industry. </w:t>
      </w:r>
    </w:p>
    <w:p>
      <w:pPr>
        <w:pStyle w:val="TextBody"/>
        <w:numPr>
          <w:ilvl w:val="0"/>
          <w:numId w:val="6"/>
        </w:numPr>
        <w:tabs>
          <w:tab w:val="clear" w:pos="1134"/>
          <w:tab w:val="left" w:pos="707" w:leader="none"/>
        </w:tabs>
        <w:bidi w:val="0"/>
        <w:spacing w:before="0" w:after="0"/>
        <w:ind w:start="707" w:hanging="283"/>
        <w:jc w:val="start"/>
        <w:rPr/>
      </w:pPr>
      <w:r>
        <w:rPr/>
        <w:t xml:space="preserve">Loss of bookings from Milton Hotels. </w:t>
      </w:r>
    </w:p>
    <w:p>
      <w:pPr>
        <w:pStyle w:val="TextBody"/>
        <w:numPr>
          <w:ilvl w:val="0"/>
          <w:numId w:val="6"/>
        </w:numPr>
        <w:tabs>
          <w:tab w:val="clear" w:pos="1134"/>
          <w:tab w:val="left" w:pos="707" w:leader="none"/>
        </w:tabs>
        <w:bidi w:val="0"/>
        <w:ind w:start="707" w:hanging="283"/>
        <w:jc w:val="start"/>
        <w:rPr/>
      </w:pPr>
      <w:r>
        <w:rPr/>
        <w:t xml:space="preserve">Lack of customers using dining facilities. </w:t>
      </w:r>
    </w:p>
    <w:p>
      <w:pPr>
        <w:pStyle w:val="TextBody"/>
        <w:bidi w:val="0"/>
        <w:jc w:val="start"/>
        <w:rPr/>
      </w:pPr>
      <w:r>
        <w:rPr/>
        <w:t xml:space="preserve">Appendix Two: </w:t>
      </w:r>
      <w:r>
        <w:rPr>
          <w:u w:val="single"/>
        </w:rPr>
        <w:t xml:space="preserve">Financial Analysis </w:t>
      </w:r>
    </w:p>
    <w:tbl>
      <w:tblPr>
        <w:tblW w:w="7267" w:type="dxa"/>
        <w:jc w:val="start"/>
        <w:tblInd w:w="0" w:type="dxa"/>
        <w:tblLayout w:type="fixed"/>
        <w:tblCellMar>
          <w:top w:w="28" w:type="dxa"/>
          <w:start w:w="28" w:type="dxa"/>
          <w:bottom w:w="28" w:type="dxa"/>
          <w:end w:w="28" w:type="dxa"/>
        </w:tblCellMar>
      </w:tblPr>
      <w:tblGrid>
        <w:gridCol w:w="796"/>
        <w:gridCol w:w="751"/>
        <w:gridCol w:w="841"/>
        <w:gridCol w:w="811"/>
        <w:gridCol w:w="1486"/>
        <w:gridCol w:w="1726"/>
        <w:gridCol w:w="856"/>
      </w:tblGrid>
      <w:tr>
        <w:trPr/>
        <w:tc>
          <w:tcPr>
            <w:tcW w:w="796" w:type="dxa"/>
            <w:tcBorders/>
            <w:vAlign w:val="center"/>
          </w:tcPr>
          <w:p>
            <w:pPr>
              <w:pStyle w:val="TableContents"/>
              <w:bidi w:val="0"/>
              <w:spacing w:before="0" w:after="283"/>
              <w:jc w:val="start"/>
              <w:rPr/>
            </w:pPr>
            <w:r>
              <w:rPr/>
              <w:t xml:space="preserve">2003 </w:t>
            </w:r>
          </w:p>
        </w:tc>
        <w:tc>
          <w:tcPr>
            <w:tcW w:w="751" w:type="dxa"/>
            <w:tcBorders/>
            <w:vAlign w:val="center"/>
          </w:tcPr>
          <w:p>
            <w:pPr>
              <w:pStyle w:val="TableContents"/>
              <w:bidi w:val="0"/>
              <w:spacing w:before="0" w:after="283"/>
              <w:jc w:val="start"/>
              <w:rPr/>
            </w:pPr>
            <w:r>
              <w:rPr/>
              <w:t xml:space="preserve">Room </w:t>
            </w:r>
          </w:p>
        </w:tc>
        <w:tc>
          <w:tcPr>
            <w:tcW w:w="841" w:type="dxa"/>
            <w:tcBorders/>
            <w:vAlign w:val="center"/>
          </w:tcPr>
          <w:p>
            <w:pPr>
              <w:pStyle w:val="TableContents"/>
              <w:bidi w:val="0"/>
              <w:spacing w:before="0" w:after="283"/>
              <w:jc w:val="start"/>
              <w:rPr/>
            </w:pPr>
            <w:r>
              <w:rPr/>
              <w:t xml:space="preserve">Rooms </w:t>
            </w:r>
          </w:p>
        </w:tc>
        <w:tc>
          <w:tcPr>
            <w:tcW w:w="811" w:type="dxa"/>
            <w:tcBorders/>
            <w:vAlign w:val="center"/>
          </w:tcPr>
          <w:p>
            <w:pPr>
              <w:pStyle w:val="TableContents"/>
              <w:bidi w:val="0"/>
              <w:spacing w:before="0" w:after="283"/>
              <w:jc w:val="start"/>
              <w:rPr/>
            </w:pPr>
            <w:r>
              <w:rPr/>
              <w:t xml:space="preserve">% Occ </w:t>
            </w:r>
          </w:p>
        </w:tc>
        <w:tc>
          <w:tcPr>
            <w:tcW w:w="1486" w:type="dxa"/>
            <w:tcBorders/>
            <w:vAlign w:val="center"/>
          </w:tcPr>
          <w:p>
            <w:pPr>
              <w:pStyle w:val="TableContents"/>
              <w:bidi w:val="0"/>
              <w:spacing w:before="0" w:after="283"/>
              <w:jc w:val="start"/>
              <w:rPr/>
            </w:pPr>
            <w:r>
              <w:rPr/>
              <w:t xml:space="preserve">Revenue </w:t>
            </w:r>
          </w:p>
        </w:tc>
        <w:tc>
          <w:tcPr>
            <w:tcW w:w="1726" w:type="dxa"/>
            <w:tcBorders/>
            <w:vAlign w:val="center"/>
          </w:tcPr>
          <w:p>
            <w:pPr>
              <w:pStyle w:val="TableContents"/>
              <w:bidi w:val="0"/>
              <w:spacing w:before="0" w:after="283"/>
              <w:jc w:val="start"/>
              <w:rPr/>
            </w:pPr>
            <w:r>
              <w:rPr/>
              <w:t xml:space="preserve">Max Rev </w:t>
            </w:r>
          </w:p>
        </w:tc>
        <w:tc>
          <w:tcPr>
            <w:tcW w:w="856" w:type="dxa"/>
            <w:tcBorders/>
            <w:vAlign w:val="center"/>
          </w:tcPr>
          <w:p>
            <w:pPr>
              <w:pStyle w:val="TableContents"/>
              <w:bidi w:val="0"/>
              <w:spacing w:before="0" w:after="283"/>
              <w:jc w:val="start"/>
              <w:rPr/>
            </w:pPr>
            <w:r>
              <w:rPr/>
              <w:t xml:space="preserve">% Rev </w:t>
            </w:r>
          </w:p>
        </w:tc>
      </w:tr>
      <w:tr>
        <w:trPr/>
        <w:tc>
          <w:tcPr>
            <w:tcW w:w="796" w:type="dxa"/>
            <w:tcBorders/>
            <w:vAlign w:val="center"/>
          </w:tcPr>
          <w:p>
            <w:pPr>
              <w:pStyle w:val="TableContents"/>
              <w:bidi w:val="0"/>
              <w:spacing w:before="0" w:after="283"/>
              <w:jc w:val="start"/>
              <w:rPr>
                <w:sz w:val="4"/>
                <w:szCs w:val="4"/>
              </w:rPr>
            </w:pPr>
            <w:r>
              <w:rPr>
                <w:sz w:val="4"/>
                <w:szCs w:val="4"/>
              </w:rPr>
            </w:r>
          </w:p>
        </w:tc>
        <w:tc>
          <w:tcPr>
            <w:tcW w:w="751" w:type="dxa"/>
            <w:tcBorders/>
            <w:vAlign w:val="center"/>
          </w:tcPr>
          <w:p>
            <w:pPr>
              <w:pStyle w:val="TableContents"/>
              <w:bidi w:val="0"/>
              <w:spacing w:before="0" w:after="283"/>
              <w:jc w:val="start"/>
              <w:rPr/>
            </w:pPr>
            <w:r>
              <w:rPr/>
              <w:t xml:space="preserve">nights </w:t>
            </w:r>
          </w:p>
        </w:tc>
        <w:tc>
          <w:tcPr>
            <w:tcW w:w="841" w:type="dxa"/>
            <w:tcBorders/>
            <w:vAlign w:val="center"/>
          </w:tcPr>
          <w:p>
            <w:pPr>
              <w:pStyle w:val="TableContents"/>
              <w:bidi w:val="0"/>
              <w:spacing w:before="0" w:after="283"/>
              <w:jc w:val="start"/>
              <w:rPr/>
            </w:pPr>
            <w:r>
              <w:rPr/>
              <w:t xml:space="preserve">Sold </w:t>
            </w:r>
          </w:p>
        </w:tc>
        <w:tc>
          <w:tcPr>
            <w:tcW w:w="811" w:type="dxa"/>
            <w:tcBorders/>
            <w:vAlign w:val="center"/>
          </w:tcPr>
          <w:p>
            <w:pPr>
              <w:pStyle w:val="TableContents"/>
              <w:bidi w:val="0"/>
              <w:spacing w:before="0" w:after="283"/>
              <w:jc w:val="start"/>
              <w:rPr>
                <w:sz w:val="4"/>
                <w:szCs w:val="4"/>
              </w:rPr>
            </w:pPr>
            <w:r>
              <w:rPr>
                <w:sz w:val="4"/>
                <w:szCs w:val="4"/>
              </w:rPr>
            </w:r>
          </w:p>
        </w:tc>
        <w:tc>
          <w:tcPr>
            <w:tcW w:w="1486" w:type="dxa"/>
            <w:tcBorders/>
            <w:vAlign w:val="center"/>
          </w:tcPr>
          <w:p>
            <w:pPr>
              <w:pStyle w:val="TableContents"/>
              <w:bidi w:val="0"/>
              <w:spacing w:before="0" w:after="283"/>
              <w:jc w:val="start"/>
              <w:rPr>
                <w:sz w:val="4"/>
                <w:szCs w:val="4"/>
              </w:rPr>
            </w:pPr>
            <w:r>
              <w:rPr>
                <w:sz w:val="4"/>
                <w:szCs w:val="4"/>
              </w:rPr>
            </w:r>
          </w:p>
        </w:tc>
        <w:tc>
          <w:tcPr>
            <w:tcW w:w="1726" w:type="dxa"/>
            <w:tcBorders/>
            <w:vAlign w:val="center"/>
          </w:tcPr>
          <w:p>
            <w:pPr>
              <w:pStyle w:val="TableContents"/>
              <w:bidi w:val="0"/>
              <w:spacing w:before="0" w:after="283"/>
              <w:jc w:val="start"/>
              <w:rPr>
                <w:sz w:val="4"/>
                <w:szCs w:val="4"/>
              </w:rPr>
            </w:pPr>
            <w:r>
              <w:rPr>
                <w:sz w:val="4"/>
                <w:szCs w:val="4"/>
              </w:rPr>
            </w:r>
          </w:p>
        </w:tc>
        <w:tc>
          <w:tcPr>
            <w:tcW w:w="856" w:type="dxa"/>
            <w:tcBorders/>
            <w:vAlign w:val="center"/>
          </w:tcPr>
          <w:p>
            <w:pPr>
              <w:pStyle w:val="TableContents"/>
              <w:bidi w:val="0"/>
              <w:spacing w:before="0" w:after="283"/>
              <w:jc w:val="start"/>
              <w:rPr>
                <w:sz w:val="4"/>
                <w:szCs w:val="4"/>
              </w:rPr>
            </w:pPr>
            <w:r>
              <w:rPr>
                <w:sz w:val="4"/>
                <w:szCs w:val="4"/>
              </w:rPr>
            </w:r>
          </w:p>
        </w:tc>
      </w:tr>
      <w:tr>
        <w:trPr/>
        <w:tc>
          <w:tcPr>
            <w:tcW w:w="796" w:type="dxa"/>
            <w:tcBorders/>
            <w:vAlign w:val="center"/>
          </w:tcPr>
          <w:p>
            <w:pPr>
              <w:pStyle w:val="TableContents"/>
              <w:bidi w:val="0"/>
              <w:spacing w:before="0" w:after="283"/>
              <w:jc w:val="start"/>
              <w:rPr/>
            </w:pPr>
            <w:r>
              <w:rPr/>
              <w:t xml:space="preserve">Jan </w:t>
            </w:r>
          </w:p>
        </w:tc>
        <w:tc>
          <w:tcPr>
            <w:tcW w:w="751" w:type="dxa"/>
            <w:tcBorders/>
            <w:vAlign w:val="center"/>
          </w:tcPr>
          <w:p>
            <w:pPr>
              <w:pStyle w:val="TableContents"/>
              <w:bidi w:val="0"/>
              <w:spacing w:before="0" w:after="283"/>
              <w:jc w:val="start"/>
              <w:rPr/>
            </w:pPr>
            <w:r>
              <w:rPr/>
              <w:t xml:space="preserve">5890 </w:t>
            </w:r>
          </w:p>
        </w:tc>
        <w:tc>
          <w:tcPr>
            <w:tcW w:w="841" w:type="dxa"/>
            <w:tcBorders/>
            <w:vAlign w:val="center"/>
          </w:tcPr>
          <w:p>
            <w:pPr>
              <w:pStyle w:val="TableContents"/>
              <w:bidi w:val="0"/>
              <w:spacing w:before="0" w:after="283"/>
              <w:jc w:val="start"/>
              <w:rPr/>
            </w:pPr>
            <w:r>
              <w:rPr/>
              <w:t xml:space="preserve">2709 </w:t>
            </w:r>
          </w:p>
        </w:tc>
        <w:tc>
          <w:tcPr>
            <w:tcW w:w="811" w:type="dxa"/>
            <w:tcBorders/>
            <w:vAlign w:val="center"/>
          </w:tcPr>
          <w:p>
            <w:pPr>
              <w:pStyle w:val="TableContents"/>
              <w:bidi w:val="0"/>
              <w:spacing w:before="0" w:after="283"/>
              <w:jc w:val="start"/>
              <w:rPr/>
            </w:pPr>
            <w:r>
              <w:rPr/>
              <w:t xml:space="preserve">46% </w:t>
            </w:r>
          </w:p>
        </w:tc>
        <w:tc>
          <w:tcPr>
            <w:tcW w:w="1486" w:type="dxa"/>
            <w:tcBorders/>
            <w:vAlign w:val="center"/>
          </w:tcPr>
          <w:p>
            <w:pPr>
              <w:pStyle w:val="TableContents"/>
              <w:bidi w:val="0"/>
              <w:spacing w:before="0" w:after="283"/>
              <w:jc w:val="start"/>
              <w:rPr/>
            </w:pPr>
            <w:r>
              <w:rPr/>
              <w:t xml:space="preserve">£168, 364. 35 </w:t>
            </w:r>
          </w:p>
        </w:tc>
        <w:tc>
          <w:tcPr>
            <w:tcW w:w="1726" w:type="dxa"/>
            <w:tcBorders/>
            <w:vAlign w:val="center"/>
          </w:tcPr>
          <w:p>
            <w:pPr>
              <w:pStyle w:val="TableContents"/>
              <w:bidi w:val="0"/>
              <w:spacing w:before="0" w:after="283"/>
              <w:jc w:val="start"/>
              <w:rPr/>
            </w:pPr>
            <w:r>
              <w:rPr/>
              <w:t xml:space="preserve">£1, 050, 125. 00 </w:t>
            </w:r>
          </w:p>
        </w:tc>
        <w:tc>
          <w:tcPr>
            <w:tcW w:w="856" w:type="dxa"/>
            <w:tcBorders/>
            <w:vAlign w:val="center"/>
          </w:tcPr>
          <w:p>
            <w:pPr>
              <w:pStyle w:val="TableContents"/>
              <w:bidi w:val="0"/>
              <w:spacing w:before="0" w:after="283"/>
              <w:jc w:val="start"/>
              <w:rPr/>
            </w:pPr>
            <w:r>
              <w:rPr/>
              <w:t xml:space="preserve">16% </w:t>
            </w:r>
          </w:p>
        </w:tc>
      </w:tr>
      <w:tr>
        <w:trPr/>
        <w:tc>
          <w:tcPr>
            <w:tcW w:w="796" w:type="dxa"/>
            <w:tcBorders/>
            <w:vAlign w:val="center"/>
          </w:tcPr>
          <w:p>
            <w:pPr>
              <w:pStyle w:val="TableContents"/>
              <w:bidi w:val="0"/>
              <w:spacing w:before="0" w:after="283"/>
              <w:jc w:val="start"/>
              <w:rPr/>
            </w:pPr>
            <w:r>
              <w:rPr/>
              <w:t xml:space="preserve">Feb </w:t>
            </w:r>
          </w:p>
        </w:tc>
        <w:tc>
          <w:tcPr>
            <w:tcW w:w="751" w:type="dxa"/>
            <w:tcBorders/>
            <w:vAlign w:val="center"/>
          </w:tcPr>
          <w:p>
            <w:pPr>
              <w:pStyle w:val="TableContents"/>
              <w:bidi w:val="0"/>
              <w:spacing w:before="0" w:after="283"/>
              <w:jc w:val="start"/>
              <w:rPr/>
            </w:pPr>
            <w:r>
              <w:rPr/>
              <w:t xml:space="preserve">5320 </w:t>
            </w:r>
          </w:p>
        </w:tc>
        <w:tc>
          <w:tcPr>
            <w:tcW w:w="841" w:type="dxa"/>
            <w:tcBorders/>
            <w:vAlign w:val="center"/>
          </w:tcPr>
          <w:p>
            <w:pPr>
              <w:pStyle w:val="TableContents"/>
              <w:bidi w:val="0"/>
              <w:spacing w:before="0" w:after="283"/>
              <w:jc w:val="start"/>
              <w:rPr/>
            </w:pPr>
            <w:r>
              <w:rPr/>
              <w:t xml:space="preserve">2554 </w:t>
            </w:r>
          </w:p>
        </w:tc>
        <w:tc>
          <w:tcPr>
            <w:tcW w:w="811" w:type="dxa"/>
            <w:tcBorders/>
            <w:vAlign w:val="center"/>
          </w:tcPr>
          <w:p>
            <w:pPr>
              <w:pStyle w:val="TableContents"/>
              <w:bidi w:val="0"/>
              <w:spacing w:before="0" w:after="283"/>
              <w:jc w:val="start"/>
              <w:rPr/>
            </w:pPr>
            <w:r>
              <w:rPr/>
              <w:t xml:space="preserve">48% </w:t>
            </w:r>
          </w:p>
        </w:tc>
        <w:tc>
          <w:tcPr>
            <w:tcW w:w="1486" w:type="dxa"/>
            <w:tcBorders/>
            <w:vAlign w:val="center"/>
          </w:tcPr>
          <w:p>
            <w:pPr>
              <w:pStyle w:val="TableContents"/>
              <w:bidi w:val="0"/>
              <w:spacing w:before="0" w:after="283"/>
              <w:jc w:val="start"/>
              <w:rPr/>
            </w:pPr>
            <w:r>
              <w:rPr/>
              <w:t xml:space="preserve">£156, 585. 74 </w:t>
            </w:r>
          </w:p>
        </w:tc>
        <w:tc>
          <w:tcPr>
            <w:tcW w:w="1726" w:type="dxa"/>
            <w:tcBorders/>
            <w:vAlign w:val="center"/>
          </w:tcPr>
          <w:p>
            <w:pPr>
              <w:pStyle w:val="TableContents"/>
              <w:bidi w:val="0"/>
              <w:spacing w:before="0" w:after="283"/>
              <w:jc w:val="start"/>
              <w:rPr/>
            </w:pPr>
            <w:r>
              <w:rPr/>
              <w:t xml:space="preserve">£948, 500. 00 </w:t>
            </w:r>
          </w:p>
        </w:tc>
        <w:tc>
          <w:tcPr>
            <w:tcW w:w="856" w:type="dxa"/>
            <w:tcBorders/>
            <w:vAlign w:val="center"/>
          </w:tcPr>
          <w:p>
            <w:pPr>
              <w:pStyle w:val="TableContents"/>
              <w:bidi w:val="0"/>
              <w:spacing w:before="0" w:after="283"/>
              <w:jc w:val="start"/>
              <w:rPr/>
            </w:pPr>
            <w:r>
              <w:rPr/>
              <w:t xml:space="preserve">17% </w:t>
            </w:r>
          </w:p>
        </w:tc>
      </w:tr>
      <w:tr>
        <w:trPr/>
        <w:tc>
          <w:tcPr>
            <w:tcW w:w="796" w:type="dxa"/>
            <w:tcBorders/>
            <w:vAlign w:val="center"/>
          </w:tcPr>
          <w:p>
            <w:pPr>
              <w:pStyle w:val="TableContents"/>
              <w:bidi w:val="0"/>
              <w:spacing w:before="0" w:after="283"/>
              <w:jc w:val="start"/>
              <w:rPr/>
            </w:pPr>
            <w:r>
              <w:rPr/>
              <w:t xml:space="preserve">March </w:t>
            </w:r>
          </w:p>
        </w:tc>
        <w:tc>
          <w:tcPr>
            <w:tcW w:w="751" w:type="dxa"/>
            <w:tcBorders/>
            <w:vAlign w:val="center"/>
          </w:tcPr>
          <w:p>
            <w:pPr>
              <w:pStyle w:val="TableContents"/>
              <w:bidi w:val="0"/>
              <w:spacing w:before="0" w:after="283"/>
              <w:jc w:val="start"/>
              <w:rPr/>
            </w:pPr>
            <w:r>
              <w:rPr/>
              <w:t xml:space="preserve">5890 </w:t>
            </w:r>
          </w:p>
        </w:tc>
        <w:tc>
          <w:tcPr>
            <w:tcW w:w="841" w:type="dxa"/>
            <w:tcBorders/>
            <w:vAlign w:val="center"/>
          </w:tcPr>
          <w:p>
            <w:pPr>
              <w:pStyle w:val="TableContents"/>
              <w:bidi w:val="0"/>
              <w:spacing w:before="0" w:after="283"/>
              <w:jc w:val="start"/>
              <w:rPr/>
            </w:pPr>
            <w:r>
              <w:rPr/>
              <w:t xml:space="preserve">3711 </w:t>
            </w:r>
          </w:p>
        </w:tc>
        <w:tc>
          <w:tcPr>
            <w:tcW w:w="811" w:type="dxa"/>
            <w:tcBorders/>
            <w:vAlign w:val="center"/>
          </w:tcPr>
          <w:p>
            <w:pPr>
              <w:pStyle w:val="TableContents"/>
              <w:bidi w:val="0"/>
              <w:spacing w:before="0" w:after="283"/>
              <w:jc w:val="start"/>
              <w:rPr/>
            </w:pPr>
            <w:r>
              <w:rPr/>
              <w:t xml:space="preserve">63% </w:t>
            </w:r>
          </w:p>
        </w:tc>
        <w:tc>
          <w:tcPr>
            <w:tcW w:w="1486" w:type="dxa"/>
            <w:tcBorders/>
            <w:vAlign w:val="center"/>
          </w:tcPr>
          <w:p>
            <w:pPr>
              <w:pStyle w:val="TableContents"/>
              <w:bidi w:val="0"/>
              <w:spacing w:before="0" w:after="283"/>
              <w:jc w:val="start"/>
              <w:rPr/>
            </w:pPr>
            <w:r>
              <w:rPr/>
              <w:t xml:space="preserve">£247, 004. 16 </w:t>
            </w:r>
          </w:p>
        </w:tc>
        <w:tc>
          <w:tcPr>
            <w:tcW w:w="1726" w:type="dxa"/>
            <w:tcBorders/>
            <w:vAlign w:val="center"/>
          </w:tcPr>
          <w:p>
            <w:pPr>
              <w:pStyle w:val="TableContents"/>
              <w:bidi w:val="0"/>
              <w:spacing w:before="0" w:after="283"/>
              <w:jc w:val="start"/>
              <w:rPr/>
            </w:pPr>
            <w:r>
              <w:rPr/>
              <w:t xml:space="preserve">£1, 050, 125. 00 </w:t>
            </w:r>
          </w:p>
        </w:tc>
        <w:tc>
          <w:tcPr>
            <w:tcW w:w="856" w:type="dxa"/>
            <w:tcBorders/>
            <w:vAlign w:val="center"/>
          </w:tcPr>
          <w:p>
            <w:pPr>
              <w:pStyle w:val="TableContents"/>
              <w:bidi w:val="0"/>
              <w:spacing w:before="0" w:after="283"/>
              <w:jc w:val="start"/>
              <w:rPr/>
            </w:pPr>
            <w:r>
              <w:rPr/>
              <w:t xml:space="preserve">24% </w:t>
            </w:r>
          </w:p>
        </w:tc>
      </w:tr>
      <w:tr>
        <w:trPr/>
        <w:tc>
          <w:tcPr>
            <w:tcW w:w="796" w:type="dxa"/>
            <w:tcBorders/>
            <w:vAlign w:val="center"/>
          </w:tcPr>
          <w:p>
            <w:pPr>
              <w:pStyle w:val="TableContents"/>
              <w:bidi w:val="0"/>
              <w:spacing w:before="0" w:after="283"/>
              <w:jc w:val="start"/>
              <w:rPr/>
            </w:pPr>
            <w:r>
              <w:rPr/>
              <w:t xml:space="preserve">April </w:t>
            </w:r>
          </w:p>
        </w:tc>
        <w:tc>
          <w:tcPr>
            <w:tcW w:w="751" w:type="dxa"/>
            <w:tcBorders/>
            <w:vAlign w:val="center"/>
          </w:tcPr>
          <w:p>
            <w:pPr>
              <w:pStyle w:val="TableContents"/>
              <w:bidi w:val="0"/>
              <w:spacing w:before="0" w:after="283"/>
              <w:jc w:val="start"/>
              <w:rPr/>
            </w:pPr>
            <w:r>
              <w:rPr/>
              <w:t xml:space="preserve">5700 </w:t>
            </w:r>
          </w:p>
        </w:tc>
        <w:tc>
          <w:tcPr>
            <w:tcW w:w="841" w:type="dxa"/>
            <w:tcBorders/>
            <w:vAlign w:val="center"/>
          </w:tcPr>
          <w:p>
            <w:pPr>
              <w:pStyle w:val="TableContents"/>
              <w:bidi w:val="0"/>
              <w:spacing w:before="0" w:after="283"/>
              <w:jc w:val="start"/>
              <w:rPr/>
            </w:pPr>
            <w:r>
              <w:rPr/>
              <w:t xml:space="preserve">3249 </w:t>
            </w:r>
          </w:p>
        </w:tc>
        <w:tc>
          <w:tcPr>
            <w:tcW w:w="811" w:type="dxa"/>
            <w:tcBorders/>
            <w:vAlign w:val="center"/>
          </w:tcPr>
          <w:p>
            <w:pPr>
              <w:pStyle w:val="TableContents"/>
              <w:bidi w:val="0"/>
              <w:spacing w:before="0" w:after="283"/>
              <w:jc w:val="start"/>
              <w:rPr/>
            </w:pPr>
            <w:r>
              <w:rPr/>
              <w:t xml:space="preserve">57% </w:t>
            </w:r>
          </w:p>
        </w:tc>
        <w:tc>
          <w:tcPr>
            <w:tcW w:w="1486" w:type="dxa"/>
            <w:tcBorders/>
            <w:vAlign w:val="center"/>
          </w:tcPr>
          <w:p>
            <w:pPr>
              <w:pStyle w:val="TableContents"/>
              <w:bidi w:val="0"/>
              <w:spacing w:before="0" w:after="283"/>
              <w:jc w:val="start"/>
              <w:rPr/>
            </w:pPr>
            <w:r>
              <w:rPr/>
              <w:t xml:space="preserve">£201, 567. 96 </w:t>
            </w:r>
          </w:p>
        </w:tc>
        <w:tc>
          <w:tcPr>
            <w:tcW w:w="1726" w:type="dxa"/>
            <w:tcBorders/>
            <w:vAlign w:val="center"/>
          </w:tcPr>
          <w:p>
            <w:pPr>
              <w:pStyle w:val="TableContents"/>
              <w:bidi w:val="0"/>
              <w:spacing w:before="0" w:after="283"/>
              <w:jc w:val="start"/>
              <w:rPr/>
            </w:pPr>
            <w:r>
              <w:rPr/>
              <w:t xml:space="preserve">£1, 016, 250. 00 </w:t>
            </w:r>
          </w:p>
        </w:tc>
        <w:tc>
          <w:tcPr>
            <w:tcW w:w="856" w:type="dxa"/>
            <w:tcBorders/>
            <w:vAlign w:val="center"/>
          </w:tcPr>
          <w:p>
            <w:pPr>
              <w:pStyle w:val="TableContents"/>
              <w:bidi w:val="0"/>
              <w:spacing w:before="0" w:after="283"/>
              <w:jc w:val="start"/>
              <w:rPr/>
            </w:pPr>
            <w:r>
              <w:rPr/>
              <w:t xml:space="preserve">20% </w:t>
            </w:r>
          </w:p>
        </w:tc>
      </w:tr>
      <w:tr>
        <w:trPr/>
        <w:tc>
          <w:tcPr>
            <w:tcW w:w="796" w:type="dxa"/>
            <w:tcBorders/>
            <w:vAlign w:val="center"/>
          </w:tcPr>
          <w:p>
            <w:pPr>
              <w:pStyle w:val="TableContents"/>
              <w:bidi w:val="0"/>
              <w:spacing w:before="0" w:after="283"/>
              <w:jc w:val="start"/>
              <w:rPr/>
            </w:pPr>
            <w:r>
              <w:rPr/>
              <w:t xml:space="preserve">May </w:t>
            </w:r>
          </w:p>
        </w:tc>
        <w:tc>
          <w:tcPr>
            <w:tcW w:w="751" w:type="dxa"/>
            <w:tcBorders/>
            <w:vAlign w:val="center"/>
          </w:tcPr>
          <w:p>
            <w:pPr>
              <w:pStyle w:val="TableContents"/>
              <w:bidi w:val="0"/>
              <w:spacing w:before="0" w:after="283"/>
              <w:jc w:val="start"/>
              <w:rPr/>
            </w:pPr>
            <w:r>
              <w:rPr/>
              <w:t xml:space="preserve">5890 </w:t>
            </w:r>
          </w:p>
        </w:tc>
        <w:tc>
          <w:tcPr>
            <w:tcW w:w="841" w:type="dxa"/>
            <w:tcBorders/>
            <w:vAlign w:val="center"/>
          </w:tcPr>
          <w:p>
            <w:pPr>
              <w:pStyle w:val="TableContents"/>
              <w:bidi w:val="0"/>
              <w:spacing w:before="0" w:after="283"/>
              <w:jc w:val="start"/>
              <w:rPr/>
            </w:pPr>
            <w:r>
              <w:rPr/>
              <w:t xml:space="preserve">4300 </w:t>
            </w:r>
          </w:p>
        </w:tc>
        <w:tc>
          <w:tcPr>
            <w:tcW w:w="811" w:type="dxa"/>
            <w:tcBorders/>
            <w:vAlign w:val="center"/>
          </w:tcPr>
          <w:p>
            <w:pPr>
              <w:pStyle w:val="TableContents"/>
              <w:bidi w:val="0"/>
              <w:spacing w:before="0" w:after="283"/>
              <w:jc w:val="start"/>
              <w:rPr/>
            </w:pPr>
            <w:r>
              <w:rPr/>
              <w:t xml:space="preserve">73% </w:t>
            </w:r>
          </w:p>
        </w:tc>
        <w:tc>
          <w:tcPr>
            <w:tcW w:w="1486" w:type="dxa"/>
            <w:tcBorders/>
            <w:vAlign w:val="center"/>
          </w:tcPr>
          <w:p>
            <w:pPr>
              <w:pStyle w:val="TableContents"/>
              <w:bidi w:val="0"/>
              <w:spacing w:before="0" w:after="283"/>
              <w:jc w:val="start"/>
              <w:rPr/>
            </w:pPr>
            <w:r>
              <w:rPr/>
              <w:t xml:space="preserve">£303, 967. 78 </w:t>
            </w:r>
          </w:p>
        </w:tc>
        <w:tc>
          <w:tcPr>
            <w:tcW w:w="1726" w:type="dxa"/>
            <w:tcBorders/>
            <w:vAlign w:val="center"/>
          </w:tcPr>
          <w:p>
            <w:pPr>
              <w:pStyle w:val="TableContents"/>
              <w:bidi w:val="0"/>
              <w:spacing w:before="0" w:after="283"/>
              <w:jc w:val="start"/>
              <w:rPr/>
            </w:pPr>
            <w:r>
              <w:rPr/>
              <w:t xml:space="preserve">£1, 050, 125. 00 </w:t>
            </w:r>
          </w:p>
        </w:tc>
        <w:tc>
          <w:tcPr>
            <w:tcW w:w="856" w:type="dxa"/>
            <w:tcBorders/>
            <w:vAlign w:val="center"/>
          </w:tcPr>
          <w:p>
            <w:pPr>
              <w:pStyle w:val="TableContents"/>
              <w:bidi w:val="0"/>
              <w:spacing w:before="0" w:after="283"/>
              <w:jc w:val="start"/>
              <w:rPr/>
            </w:pPr>
            <w:r>
              <w:rPr/>
              <w:t xml:space="preserve">29% </w:t>
            </w:r>
          </w:p>
        </w:tc>
      </w:tr>
      <w:tr>
        <w:trPr/>
        <w:tc>
          <w:tcPr>
            <w:tcW w:w="796" w:type="dxa"/>
            <w:tcBorders/>
            <w:vAlign w:val="center"/>
          </w:tcPr>
          <w:p>
            <w:pPr>
              <w:pStyle w:val="TableContents"/>
              <w:bidi w:val="0"/>
              <w:spacing w:before="0" w:after="283"/>
              <w:jc w:val="start"/>
              <w:rPr/>
            </w:pPr>
            <w:r>
              <w:rPr/>
              <w:t xml:space="preserve">June </w:t>
            </w:r>
          </w:p>
        </w:tc>
        <w:tc>
          <w:tcPr>
            <w:tcW w:w="751" w:type="dxa"/>
            <w:tcBorders/>
            <w:vAlign w:val="center"/>
          </w:tcPr>
          <w:p>
            <w:pPr>
              <w:pStyle w:val="TableContents"/>
              <w:bidi w:val="0"/>
              <w:spacing w:before="0" w:after="283"/>
              <w:jc w:val="start"/>
              <w:rPr/>
            </w:pPr>
            <w:r>
              <w:rPr/>
              <w:t xml:space="preserve">5700 </w:t>
            </w:r>
          </w:p>
        </w:tc>
        <w:tc>
          <w:tcPr>
            <w:tcW w:w="841" w:type="dxa"/>
            <w:tcBorders/>
            <w:vAlign w:val="center"/>
          </w:tcPr>
          <w:p>
            <w:pPr>
              <w:pStyle w:val="TableContents"/>
              <w:bidi w:val="0"/>
              <w:spacing w:before="0" w:after="283"/>
              <w:jc w:val="start"/>
              <w:rPr/>
            </w:pPr>
            <w:r>
              <w:rPr/>
              <w:t xml:space="preserve">4617 </w:t>
            </w:r>
          </w:p>
        </w:tc>
        <w:tc>
          <w:tcPr>
            <w:tcW w:w="811" w:type="dxa"/>
            <w:tcBorders/>
            <w:vAlign w:val="center"/>
          </w:tcPr>
          <w:p>
            <w:pPr>
              <w:pStyle w:val="TableContents"/>
              <w:bidi w:val="0"/>
              <w:spacing w:before="0" w:after="283"/>
              <w:jc w:val="start"/>
              <w:rPr/>
            </w:pPr>
            <w:r>
              <w:rPr/>
              <w:t xml:space="preserve">81% </w:t>
            </w:r>
          </w:p>
        </w:tc>
        <w:tc>
          <w:tcPr>
            <w:tcW w:w="1486" w:type="dxa"/>
            <w:tcBorders/>
            <w:vAlign w:val="center"/>
          </w:tcPr>
          <w:p>
            <w:pPr>
              <w:pStyle w:val="TableContents"/>
              <w:bidi w:val="0"/>
              <w:spacing w:before="0" w:after="283"/>
              <w:jc w:val="start"/>
              <w:rPr/>
            </w:pPr>
            <w:r>
              <w:rPr/>
              <w:t xml:space="preserve">£342, 622. 57 </w:t>
            </w:r>
          </w:p>
        </w:tc>
        <w:tc>
          <w:tcPr>
            <w:tcW w:w="1726" w:type="dxa"/>
            <w:tcBorders/>
            <w:vAlign w:val="center"/>
          </w:tcPr>
          <w:p>
            <w:pPr>
              <w:pStyle w:val="TableContents"/>
              <w:bidi w:val="0"/>
              <w:spacing w:before="0" w:after="283"/>
              <w:jc w:val="start"/>
              <w:rPr/>
            </w:pPr>
            <w:r>
              <w:rPr/>
              <w:t xml:space="preserve">£1, 016, 250. 00 </w:t>
            </w:r>
          </w:p>
        </w:tc>
        <w:tc>
          <w:tcPr>
            <w:tcW w:w="856" w:type="dxa"/>
            <w:tcBorders/>
            <w:vAlign w:val="center"/>
          </w:tcPr>
          <w:p>
            <w:pPr>
              <w:pStyle w:val="TableContents"/>
              <w:bidi w:val="0"/>
              <w:spacing w:before="0" w:after="283"/>
              <w:jc w:val="start"/>
              <w:rPr/>
            </w:pPr>
            <w:r>
              <w:rPr/>
              <w:t xml:space="preserve">34% </w:t>
            </w:r>
          </w:p>
        </w:tc>
      </w:tr>
      <w:tr>
        <w:trPr/>
        <w:tc>
          <w:tcPr>
            <w:tcW w:w="796" w:type="dxa"/>
            <w:tcBorders/>
            <w:vAlign w:val="center"/>
          </w:tcPr>
          <w:p>
            <w:pPr>
              <w:pStyle w:val="TableContents"/>
              <w:bidi w:val="0"/>
              <w:spacing w:before="0" w:after="283"/>
              <w:jc w:val="start"/>
              <w:rPr/>
            </w:pPr>
            <w:r>
              <w:rPr/>
              <w:t xml:space="preserve">July </w:t>
            </w:r>
          </w:p>
        </w:tc>
        <w:tc>
          <w:tcPr>
            <w:tcW w:w="751" w:type="dxa"/>
            <w:tcBorders/>
            <w:vAlign w:val="center"/>
          </w:tcPr>
          <w:p>
            <w:pPr>
              <w:pStyle w:val="TableContents"/>
              <w:bidi w:val="0"/>
              <w:spacing w:before="0" w:after="283"/>
              <w:jc w:val="start"/>
              <w:rPr/>
            </w:pPr>
            <w:r>
              <w:rPr/>
              <w:t xml:space="preserve">5890 </w:t>
            </w:r>
          </w:p>
        </w:tc>
        <w:tc>
          <w:tcPr>
            <w:tcW w:w="841" w:type="dxa"/>
            <w:tcBorders/>
            <w:vAlign w:val="center"/>
          </w:tcPr>
          <w:p>
            <w:pPr>
              <w:pStyle w:val="TableContents"/>
              <w:bidi w:val="0"/>
              <w:spacing w:before="0" w:after="283"/>
              <w:jc w:val="start"/>
              <w:rPr/>
            </w:pPr>
            <w:r>
              <w:rPr/>
              <w:t xml:space="preserve">4476 </w:t>
            </w:r>
          </w:p>
        </w:tc>
        <w:tc>
          <w:tcPr>
            <w:tcW w:w="811" w:type="dxa"/>
            <w:tcBorders/>
            <w:vAlign w:val="center"/>
          </w:tcPr>
          <w:p>
            <w:pPr>
              <w:pStyle w:val="TableContents"/>
              <w:bidi w:val="0"/>
              <w:spacing w:before="0" w:after="283"/>
              <w:jc w:val="start"/>
              <w:rPr/>
            </w:pPr>
            <w:r>
              <w:rPr/>
              <w:t xml:space="preserve">76% </w:t>
            </w:r>
          </w:p>
        </w:tc>
        <w:tc>
          <w:tcPr>
            <w:tcW w:w="1486" w:type="dxa"/>
            <w:tcBorders/>
            <w:vAlign w:val="center"/>
          </w:tcPr>
          <w:p>
            <w:pPr>
              <w:pStyle w:val="TableContents"/>
              <w:bidi w:val="0"/>
              <w:spacing w:before="0" w:after="283"/>
              <w:jc w:val="start"/>
              <w:rPr/>
            </w:pPr>
            <w:r>
              <w:rPr/>
              <w:t xml:space="preserve">£319, 944. 48 </w:t>
            </w:r>
          </w:p>
        </w:tc>
        <w:tc>
          <w:tcPr>
            <w:tcW w:w="1726" w:type="dxa"/>
            <w:tcBorders/>
            <w:vAlign w:val="center"/>
          </w:tcPr>
          <w:p>
            <w:pPr>
              <w:pStyle w:val="TableContents"/>
              <w:bidi w:val="0"/>
              <w:spacing w:before="0" w:after="283"/>
              <w:jc w:val="start"/>
              <w:rPr/>
            </w:pPr>
            <w:r>
              <w:rPr/>
              <w:t xml:space="preserve">£1, 050, 125. 00 </w:t>
            </w:r>
          </w:p>
        </w:tc>
        <w:tc>
          <w:tcPr>
            <w:tcW w:w="856" w:type="dxa"/>
            <w:tcBorders/>
            <w:vAlign w:val="center"/>
          </w:tcPr>
          <w:p>
            <w:pPr>
              <w:pStyle w:val="TableContents"/>
              <w:bidi w:val="0"/>
              <w:spacing w:before="0" w:after="283"/>
              <w:jc w:val="start"/>
              <w:rPr/>
            </w:pPr>
            <w:r>
              <w:rPr/>
              <w:t xml:space="preserve">30% </w:t>
            </w:r>
          </w:p>
        </w:tc>
      </w:tr>
      <w:tr>
        <w:trPr/>
        <w:tc>
          <w:tcPr>
            <w:tcW w:w="796" w:type="dxa"/>
            <w:tcBorders/>
            <w:vAlign w:val="center"/>
          </w:tcPr>
          <w:p>
            <w:pPr>
              <w:pStyle w:val="TableContents"/>
              <w:bidi w:val="0"/>
              <w:spacing w:before="0" w:after="283"/>
              <w:jc w:val="start"/>
              <w:rPr/>
            </w:pPr>
            <w:r>
              <w:rPr/>
              <w:t xml:space="preserve">Aug </w:t>
            </w:r>
          </w:p>
        </w:tc>
        <w:tc>
          <w:tcPr>
            <w:tcW w:w="751" w:type="dxa"/>
            <w:tcBorders/>
            <w:vAlign w:val="center"/>
          </w:tcPr>
          <w:p>
            <w:pPr>
              <w:pStyle w:val="TableContents"/>
              <w:bidi w:val="0"/>
              <w:spacing w:before="0" w:after="283"/>
              <w:jc w:val="start"/>
              <w:rPr/>
            </w:pPr>
            <w:r>
              <w:rPr/>
              <w:t xml:space="preserve">5890 </w:t>
            </w:r>
          </w:p>
        </w:tc>
        <w:tc>
          <w:tcPr>
            <w:tcW w:w="841" w:type="dxa"/>
            <w:tcBorders/>
            <w:vAlign w:val="center"/>
          </w:tcPr>
          <w:p>
            <w:pPr>
              <w:pStyle w:val="TableContents"/>
              <w:bidi w:val="0"/>
              <w:spacing w:before="0" w:after="283"/>
              <w:jc w:val="start"/>
              <w:rPr/>
            </w:pPr>
            <w:r>
              <w:rPr/>
              <w:t xml:space="preserve">4889 </w:t>
            </w:r>
          </w:p>
        </w:tc>
        <w:tc>
          <w:tcPr>
            <w:tcW w:w="811" w:type="dxa"/>
            <w:tcBorders/>
            <w:vAlign w:val="center"/>
          </w:tcPr>
          <w:p>
            <w:pPr>
              <w:pStyle w:val="TableContents"/>
              <w:bidi w:val="0"/>
              <w:spacing w:before="0" w:after="283"/>
              <w:jc w:val="start"/>
              <w:rPr/>
            </w:pPr>
            <w:r>
              <w:rPr/>
              <w:t xml:space="preserve">83% </w:t>
            </w:r>
          </w:p>
        </w:tc>
        <w:tc>
          <w:tcPr>
            <w:tcW w:w="1486" w:type="dxa"/>
            <w:tcBorders/>
            <w:vAlign w:val="center"/>
          </w:tcPr>
          <w:p>
            <w:pPr>
              <w:pStyle w:val="TableContents"/>
              <w:bidi w:val="0"/>
              <w:spacing w:before="0" w:after="283"/>
              <w:jc w:val="start"/>
              <w:rPr/>
            </w:pPr>
            <w:r>
              <w:rPr/>
              <w:t xml:space="preserve">£392, 635. 59 </w:t>
            </w:r>
          </w:p>
        </w:tc>
        <w:tc>
          <w:tcPr>
            <w:tcW w:w="1726" w:type="dxa"/>
            <w:tcBorders/>
            <w:vAlign w:val="center"/>
          </w:tcPr>
          <w:p>
            <w:pPr>
              <w:pStyle w:val="TableContents"/>
              <w:bidi w:val="0"/>
              <w:spacing w:before="0" w:after="283"/>
              <w:jc w:val="start"/>
              <w:rPr/>
            </w:pPr>
            <w:r>
              <w:rPr/>
              <w:t xml:space="preserve">£1, 050, 125. 00 </w:t>
            </w:r>
          </w:p>
        </w:tc>
        <w:tc>
          <w:tcPr>
            <w:tcW w:w="856" w:type="dxa"/>
            <w:tcBorders/>
            <w:vAlign w:val="center"/>
          </w:tcPr>
          <w:p>
            <w:pPr>
              <w:pStyle w:val="TableContents"/>
              <w:bidi w:val="0"/>
              <w:spacing w:before="0" w:after="283"/>
              <w:jc w:val="start"/>
              <w:rPr/>
            </w:pPr>
            <w:r>
              <w:rPr/>
              <w:t xml:space="preserve">37% </w:t>
            </w:r>
          </w:p>
        </w:tc>
      </w:tr>
      <w:tr>
        <w:trPr/>
        <w:tc>
          <w:tcPr>
            <w:tcW w:w="796" w:type="dxa"/>
            <w:tcBorders/>
            <w:vAlign w:val="center"/>
          </w:tcPr>
          <w:p>
            <w:pPr>
              <w:pStyle w:val="TableContents"/>
              <w:bidi w:val="0"/>
              <w:spacing w:before="0" w:after="283"/>
              <w:jc w:val="start"/>
              <w:rPr/>
            </w:pPr>
            <w:r>
              <w:rPr/>
              <w:t xml:space="preserve">Sep </w:t>
            </w:r>
          </w:p>
        </w:tc>
        <w:tc>
          <w:tcPr>
            <w:tcW w:w="751" w:type="dxa"/>
            <w:tcBorders/>
            <w:vAlign w:val="center"/>
          </w:tcPr>
          <w:p>
            <w:pPr>
              <w:pStyle w:val="TableContents"/>
              <w:bidi w:val="0"/>
              <w:spacing w:before="0" w:after="283"/>
              <w:jc w:val="start"/>
              <w:rPr/>
            </w:pPr>
            <w:r>
              <w:rPr/>
              <w:t xml:space="preserve">5700 </w:t>
            </w:r>
          </w:p>
        </w:tc>
        <w:tc>
          <w:tcPr>
            <w:tcW w:w="841" w:type="dxa"/>
            <w:tcBorders/>
            <w:vAlign w:val="center"/>
          </w:tcPr>
          <w:p>
            <w:pPr>
              <w:pStyle w:val="TableContents"/>
              <w:bidi w:val="0"/>
              <w:spacing w:before="0" w:after="283"/>
              <w:jc w:val="start"/>
              <w:rPr/>
            </w:pPr>
            <w:r>
              <w:rPr/>
              <w:t xml:space="preserve">4446 </w:t>
            </w:r>
          </w:p>
        </w:tc>
        <w:tc>
          <w:tcPr>
            <w:tcW w:w="811" w:type="dxa"/>
            <w:tcBorders/>
            <w:vAlign w:val="center"/>
          </w:tcPr>
          <w:p>
            <w:pPr>
              <w:pStyle w:val="TableContents"/>
              <w:bidi w:val="0"/>
              <w:spacing w:before="0" w:after="283"/>
              <w:jc w:val="start"/>
              <w:rPr/>
            </w:pPr>
            <w:r>
              <w:rPr/>
              <w:t xml:space="preserve">78% </w:t>
            </w:r>
          </w:p>
        </w:tc>
        <w:tc>
          <w:tcPr>
            <w:tcW w:w="1486" w:type="dxa"/>
            <w:tcBorders/>
            <w:vAlign w:val="center"/>
          </w:tcPr>
          <w:p>
            <w:pPr>
              <w:pStyle w:val="TableContents"/>
              <w:bidi w:val="0"/>
              <w:spacing w:before="0" w:after="283"/>
              <w:jc w:val="start"/>
              <w:rPr/>
            </w:pPr>
            <w:r>
              <w:rPr/>
              <w:t xml:space="preserve">£361, 148. 58 </w:t>
            </w:r>
          </w:p>
        </w:tc>
        <w:tc>
          <w:tcPr>
            <w:tcW w:w="1726" w:type="dxa"/>
            <w:tcBorders/>
            <w:vAlign w:val="center"/>
          </w:tcPr>
          <w:p>
            <w:pPr>
              <w:pStyle w:val="TableContents"/>
              <w:bidi w:val="0"/>
              <w:spacing w:before="0" w:after="283"/>
              <w:jc w:val="start"/>
              <w:rPr/>
            </w:pPr>
            <w:r>
              <w:rPr/>
              <w:t xml:space="preserve">£1, 016, 250. 00 </w:t>
            </w:r>
          </w:p>
        </w:tc>
        <w:tc>
          <w:tcPr>
            <w:tcW w:w="856" w:type="dxa"/>
            <w:tcBorders/>
            <w:vAlign w:val="center"/>
          </w:tcPr>
          <w:p>
            <w:pPr>
              <w:pStyle w:val="TableContents"/>
              <w:bidi w:val="0"/>
              <w:spacing w:before="0" w:after="283"/>
              <w:jc w:val="start"/>
              <w:rPr/>
            </w:pPr>
            <w:r>
              <w:rPr/>
              <w:t xml:space="preserve">36% </w:t>
            </w:r>
          </w:p>
        </w:tc>
      </w:tr>
      <w:tr>
        <w:trPr/>
        <w:tc>
          <w:tcPr>
            <w:tcW w:w="796" w:type="dxa"/>
            <w:tcBorders/>
            <w:vAlign w:val="center"/>
          </w:tcPr>
          <w:p>
            <w:pPr>
              <w:pStyle w:val="TableContents"/>
              <w:bidi w:val="0"/>
              <w:spacing w:before="0" w:after="283"/>
              <w:jc w:val="start"/>
              <w:rPr/>
            </w:pPr>
            <w:r>
              <w:rPr/>
              <w:t xml:space="preserve">Oct </w:t>
            </w:r>
          </w:p>
        </w:tc>
        <w:tc>
          <w:tcPr>
            <w:tcW w:w="751" w:type="dxa"/>
            <w:tcBorders/>
            <w:vAlign w:val="center"/>
          </w:tcPr>
          <w:p>
            <w:pPr>
              <w:pStyle w:val="TableContents"/>
              <w:bidi w:val="0"/>
              <w:spacing w:before="0" w:after="283"/>
              <w:jc w:val="start"/>
              <w:rPr/>
            </w:pPr>
            <w:r>
              <w:rPr/>
              <w:t xml:space="preserve">5890 </w:t>
            </w:r>
          </w:p>
        </w:tc>
        <w:tc>
          <w:tcPr>
            <w:tcW w:w="841" w:type="dxa"/>
            <w:tcBorders/>
            <w:vAlign w:val="center"/>
          </w:tcPr>
          <w:p>
            <w:pPr>
              <w:pStyle w:val="TableContents"/>
              <w:bidi w:val="0"/>
              <w:spacing w:before="0" w:after="283"/>
              <w:jc w:val="start"/>
              <w:rPr/>
            </w:pPr>
            <w:r>
              <w:rPr/>
              <w:t xml:space="preserve">4418 </w:t>
            </w:r>
          </w:p>
        </w:tc>
        <w:tc>
          <w:tcPr>
            <w:tcW w:w="811" w:type="dxa"/>
            <w:tcBorders/>
            <w:vAlign w:val="center"/>
          </w:tcPr>
          <w:p>
            <w:pPr>
              <w:pStyle w:val="TableContents"/>
              <w:bidi w:val="0"/>
              <w:spacing w:before="0" w:after="283"/>
              <w:jc w:val="start"/>
              <w:rPr/>
            </w:pPr>
            <w:r>
              <w:rPr/>
              <w:t xml:space="preserve">75% </w:t>
            </w:r>
          </w:p>
        </w:tc>
        <w:tc>
          <w:tcPr>
            <w:tcW w:w="1486" w:type="dxa"/>
            <w:tcBorders/>
            <w:vAlign w:val="center"/>
          </w:tcPr>
          <w:p>
            <w:pPr>
              <w:pStyle w:val="TableContents"/>
              <w:bidi w:val="0"/>
              <w:spacing w:before="0" w:after="283"/>
              <w:jc w:val="start"/>
              <w:rPr/>
            </w:pPr>
            <w:r>
              <w:rPr/>
              <w:t xml:space="preserve">£301, 749. 40 </w:t>
            </w:r>
          </w:p>
        </w:tc>
        <w:tc>
          <w:tcPr>
            <w:tcW w:w="1726" w:type="dxa"/>
            <w:tcBorders/>
            <w:vAlign w:val="center"/>
          </w:tcPr>
          <w:p>
            <w:pPr>
              <w:pStyle w:val="TableContents"/>
              <w:bidi w:val="0"/>
              <w:spacing w:before="0" w:after="283"/>
              <w:jc w:val="start"/>
              <w:rPr/>
            </w:pPr>
            <w:r>
              <w:rPr/>
              <w:t xml:space="preserve">£1, 050, 125. 00 </w:t>
            </w:r>
          </w:p>
        </w:tc>
        <w:tc>
          <w:tcPr>
            <w:tcW w:w="856" w:type="dxa"/>
            <w:tcBorders/>
            <w:vAlign w:val="center"/>
          </w:tcPr>
          <w:p>
            <w:pPr>
              <w:pStyle w:val="TableContents"/>
              <w:bidi w:val="0"/>
              <w:spacing w:before="0" w:after="283"/>
              <w:jc w:val="start"/>
              <w:rPr/>
            </w:pPr>
            <w:r>
              <w:rPr/>
              <w:t xml:space="preserve">29% </w:t>
            </w:r>
          </w:p>
        </w:tc>
      </w:tr>
      <w:tr>
        <w:trPr/>
        <w:tc>
          <w:tcPr>
            <w:tcW w:w="796" w:type="dxa"/>
            <w:tcBorders/>
            <w:vAlign w:val="center"/>
          </w:tcPr>
          <w:p>
            <w:pPr>
              <w:pStyle w:val="TableContents"/>
              <w:bidi w:val="0"/>
              <w:spacing w:before="0" w:after="283"/>
              <w:jc w:val="start"/>
              <w:rPr/>
            </w:pPr>
            <w:r>
              <w:rPr/>
              <w:t xml:space="preserve">Nov </w:t>
            </w:r>
          </w:p>
        </w:tc>
        <w:tc>
          <w:tcPr>
            <w:tcW w:w="751" w:type="dxa"/>
            <w:tcBorders/>
            <w:vAlign w:val="center"/>
          </w:tcPr>
          <w:p>
            <w:pPr>
              <w:pStyle w:val="TableContents"/>
              <w:bidi w:val="0"/>
              <w:spacing w:before="0" w:after="283"/>
              <w:jc w:val="start"/>
              <w:rPr/>
            </w:pPr>
            <w:r>
              <w:rPr/>
              <w:t xml:space="preserve">5700 </w:t>
            </w:r>
          </w:p>
        </w:tc>
        <w:tc>
          <w:tcPr>
            <w:tcW w:w="841" w:type="dxa"/>
            <w:tcBorders/>
            <w:vAlign w:val="center"/>
          </w:tcPr>
          <w:p>
            <w:pPr>
              <w:pStyle w:val="TableContents"/>
              <w:bidi w:val="0"/>
              <w:spacing w:before="0" w:after="283"/>
              <w:jc w:val="start"/>
              <w:rPr/>
            </w:pPr>
            <w:r>
              <w:rPr/>
              <w:t xml:space="preserve">3648 </w:t>
            </w:r>
          </w:p>
        </w:tc>
        <w:tc>
          <w:tcPr>
            <w:tcW w:w="811" w:type="dxa"/>
            <w:tcBorders/>
            <w:vAlign w:val="center"/>
          </w:tcPr>
          <w:p>
            <w:pPr>
              <w:pStyle w:val="TableContents"/>
              <w:bidi w:val="0"/>
              <w:spacing w:before="0" w:after="283"/>
              <w:jc w:val="start"/>
              <w:rPr/>
            </w:pPr>
            <w:r>
              <w:rPr/>
              <w:t xml:space="preserve">64% </w:t>
            </w:r>
          </w:p>
        </w:tc>
        <w:tc>
          <w:tcPr>
            <w:tcW w:w="1486" w:type="dxa"/>
            <w:tcBorders/>
            <w:vAlign w:val="center"/>
          </w:tcPr>
          <w:p>
            <w:pPr>
              <w:pStyle w:val="TableContents"/>
              <w:bidi w:val="0"/>
              <w:spacing w:before="0" w:after="283"/>
              <w:jc w:val="start"/>
              <w:rPr/>
            </w:pPr>
            <w:r>
              <w:rPr/>
              <w:t xml:space="preserve">£230, 334. 72 </w:t>
            </w:r>
          </w:p>
        </w:tc>
        <w:tc>
          <w:tcPr>
            <w:tcW w:w="1726" w:type="dxa"/>
            <w:tcBorders/>
            <w:vAlign w:val="center"/>
          </w:tcPr>
          <w:p>
            <w:pPr>
              <w:pStyle w:val="TableContents"/>
              <w:bidi w:val="0"/>
              <w:spacing w:before="0" w:after="283"/>
              <w:jc w:val="start"/>
              <w:rPr/>
            </w:pPr>
            <w:r>
              <w:rPr/>
              <w:t xml:space="preserve">£1, 016, 250. 00 </w:t>
            </w:r>
          </w:p>
        </w:tc>
        <w:tc>
          <w:tcPr>
            <w:tcW w:w="856" w:type="dxa"/>
            <w:tcBorders/>
            <w:vAlign w:val="center"/>
          </w:tcPr>
          <w:p>
            <w:pPr>
              <w:pStyle w:val="TableContents"/>
              <w:bidi w:val="0"/>
              <w:spacing w:before="0" w:after="283"/>
              <w:jc w:val="start"/>
              <w:rPr/>
            </w:pPr>
            <w:r>
              <w:rPr/>
              <w:t xml:space="preserve">23% </w:t>
            </w:r>
          </w:p>
        </w:tc>
      </w:tr>
      <w:tr>
        <w:trPr/>
        <w:tc>
          <w:tcPr>
            <w:tcW w:w="796" w:type="dxa"/>
            <w:tcBorders/>
            <w:vAlign w:val="center"/>
          </w:tcPr>
          <w:p>
            <w:pPr>
              <w:pStyle w:val="TableContents"/>
              <w:bidi w:val="0"/>
              <w:spacing w:before="0" w:after="283"/>
              <w:jc w:val="start"/>
              <w:rPr/>
            </w:pPr>
            <w:r>
              <w:rPr/>
              <w:t xml:space="preserve">Dec </w:t>
            </w:r>
          </w:p>
        </w:tc>
        <w:tc>
          <w:tcPr>
            <w:tcW w:w="751" w:type="dxa"/>
            <w:tcBorders/>
            <w:vAlign w:val="center"/>
          </w:tcPr>
          <w:p>
            <w:pPr>
              <w:pStyle w:val="TableContents"/>
              <w:bidi w:val="0"/>
              <w:spacing w:before="0" w:after="283"/>
              <w:jc w:val="start"/>
              <w:rPr/>
            </w:pPr>
            <w:r>
              <w:rPr/>
              <w:t xml:space="preserve">5890 </w:t>
            </w:r>
          </w:p>
        </w:tc>
        <w:tc>
          <w:tcPr>
            <w:tcW w:w="841" w:type="dxa"/>
            <w:tcBorders/>
            <w:vAlign w:val="center"/>
          </w:tcPr>
          <w:p>
            <w:pPr>
              <w:pStyle w:val="TableContents"/>
              <w:bidi w:val="0"/>
              <w:spacing w:before="0" w:after="283"/>
              <w:jc w:val="start"/>
              <w:rPr/>
            </w:pPr>
            <w:r>
              <w:rPr/>
              <w:t xml:space="preserve">2297 </w:t>
            </w:r>
          </w:p>
        </w:tc>
        <w:tc>
          <w:tcPr>
            <w:tcW w:w="811" w:type="dxa"/>
            <w:tcBorders/>
            <w:vAlign w:val="center"/>
          </w:tcPr>
          <w:p>
            <w:pPr>
              <w:pStyle w:val="TableContents"/>
              <w:bidi w:val="0"/>
              <w:spacing w:before="0" w:after="283"/>
              <w:jc w:val="start"/>
              <w:rPr/>
            </w:pPr>
            <w:r>
              <w:rPr/>
              <w:t xml:space="preserve">39% </w:t>
            </w:r>
          </w:p>
        </w:tc>
        <w:tc>
          <w:tcPr>
            <w:tcW w:w="1486" w:type="dxa"/>
            <w:tcBorders/>
            <w:vAlign w:val="center"/>
          </w:tcPr>
          <w:p>
            <w:pPr>
              <w:pStyle w:val="TableContents"/>
              <w:bidi w:val="0"/>
              <w:spacing w:before="0" w:after="283"/>
              <w:jc w:val="start"/>
              <w:rPr/>
            </w:pPr>
            <w:r>
              <w:rPr/>
              <w:t xml:space="preserve">£136, 855. 26 </w:t>
            </w:r>
          </w:p>
        </w:tc>
        <w:tc>
          <w:tcPr>
            <w:tcW w:w="1726" w:type="dxa"/>
            <w:tcBorders/>
            <w:vAlign w:val="center"/>
          </w:tcPr>
          <w:p>
            <w:pPr>
              <w:pStyle w:val="TableContents"/>
              <w:bidi w:val="0"/>
              <w:spacing w:before="0" w:after="283"/>
              <w:jc w:val="start"/>
              <w:rPr/>
            </w:pPr>
            <w:r>
              <w:rPr/>
              <w:t xml:space="preserve">£1, 050, 125. 00 </w:t>
            </w:r>
          </w:p>
        </w:tc>
        <w:tc>
          <w:tcPr>
            <w:tcW w:w="856" w:type="dxa"/>
            <w:tcBorders/>
            <w:vAlign w:val="center"/>
          </w:tcPr>
          <w:p>
            <w:pPr>
              <w:pStyle w:val="TableContents"/>
              <w:bidi w:val="0"/>
              <w:spacing w:before="0" w:after="283"/>
              <w:jc w:val="start"/>
              <w:rPr/>
            </w:pPr>
            <w:r>
              <w:rPr/>
              <w:t xml:space="preserve">13% </w:t>
            </w:r>
          </w:p>
        </w:tc>
      </w:tr>
      <w:tr>
        <w:trPr/>
        <w:tc>
          <w:tcPr>
            <w:tcW w:w="796" w:type="dxa"/>
            <w:tcBorders/>
            <w:vAlign w:val="center"/>
          </w:tcPr>
          <w:p>
            <w:pPr>
              <w:pStyle w:val="TableContents"/>
              <w:bidi w:val="0"/>
              <w:spacing w:before="0" w:after="283"/>
              <w:jc w:val="start"/>
              <w:rPr/>
            </w:pPr>
            <w:r>
              <w:rPr/>
              <w:t xml:space="preserve">2004 </w:t>
            </w:r>
          </w:p>
        </w:tc>
        <w:tc>
          <w:tcPr>
            <w:tcW w:w="75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1486" w:type="dxa"/>
            <w:tcBorders/>
            <w:vAlign w:val="center"/>
          </w:tcPr>
          <w:p>
            <w:pPr>
              <w:pStyle w:val="TableContents"/>
              <w:bidi w:val="0"/>
              <w:spacing w:before="0" w:after="283"/>
              <w:jc w:val="start"/>
              <w:rPr>
                <w:sz w:val="4"/>
                <w:szCs w:val="4"/>
              </w:rPr>
            </w:pPr>
            <w:r>
              <w:rPr>
                <w:sz w:val="4"/>
                <w:szCs w:val="4"/>
              </w:rPr>
            </w:r>
          </w:p>
        </w:tc>
        <w:tc>
          <w:tcPr>
            <w:tcW w:w="1726" w:type="dxa"/>
            <w:tcBorders/>
            <w:vAlign w:val="center"/>
          </w:tcPr>
          <w:p>
            <w:pPr>
              <w:pStyle w:val="TableContents"/>
              <w:bidi w:val="0"/>
              <w:spacing w:before="0" w:after="283"/>
              <w:jc w:val="start"/>
              <w:rPr>
                <w:sz w:val="4"/>
                <w:szCs w:val="4"/>
              </w:rPr>
            </w:pPr>
            <w:r>
              <w:rPr>
                <w:sz w:val="4"/>
                <w:szCs w:val="4"/>
              </w:rPr>
            </w:r>
          </w:p>
        </w:tc>
        <w:tc>
          <w:tcPr>
            <w:tcW w:w="856" w:type="dxa"/>
            <w:tcBorders/>
            <w:vAlign w:val="center"/>
          </w:tcPr>
          <w:p>
            <w:pPr>
              <w:pStyle w:val="TableContents"/>
              <w:bidi w:val="0"/>
              <w:spacing w:before="0" w:after="283"/>
              <w:jc w:val="start"/>
              <w:rPr>
                <w:sz w:val="4"/>
                <w:szCs w:val="4"/>
              </w:rPr>
            </w:pPr>
            <w:r>
              <w:rPr>
                <w:sz w:val="4"/>
                <w:szCs w:val="4"/>
              </w:rPr>
            </w:r>
          </w:p>
        </w:tc>
      </w:tr>
      <w:tr>
        <w:trPr/>
        <w:tc>
          <w:tcPr>
            <w:tcW w:w="796" w:type="dxa"/>
            <w:tcBorders/>
            <w:vAlign w:val="center"/>
          </w:tcPr>
          <w:p>
            <w:pPr>
              <w:pStyle w:val="TableContents"/>
              <w:bidi w:val="0"/>
              <w:spacing w:before="0" w:after="283"/>
              <w:jc w:val="start"/>
              <w:rPr/>
            </w:pPr>
            <w:r>
              <w:rPr/>
              <w:t xml:space="preserve">Jan </w:t>
            </w:r>
          </w:p>
        </w:tc>
        <w:tc>
          <w:tcPr>
            <w:tcW w:w="751" w:type="dxa"/>
            <w:tcBorders/>
            <w:vAlign w:val="center"/>
          </w:tcPr>
          <w:p>
            <w:pPr>
              <w:pStyle w:val="TableContents"/>
              <w:bidi w:val="0"/>
              <w:spacing w:before="0" w:after="283"/>
              <w:jc w:val="start"/>
              <w:rPr/>
            </w:pPr>
            <w:r>
              <w:rPr/>
              <w:t xml:space="preserve">5890 </w:t>
            </w:r>
          </w:p>
        </w:tc>
        <w:tc>
          <w:tcPr>
            <w:tcW w:w="841" w:type="dxa"/>
            <w:tcBorders/>
            <w:vAlign w:val="center"/>
          </w:tcPr>
          <w:p>
            <w:pPr>
              <w:pStyle w:val="TableContents"/>
              <w:bidi w:val="0"/>
              <w:spacing w:before="0" w:after="283"/>
              <w:jc w:val="start"/>
              <w:rPr/>
            </w:pPr>
            <w:r>
              <w:rPr/>
              <w:t xml:space="preserve">2827 </w:t>
            </w:r>
          </w:p>
        </w:tc>
        <w:tc>
          <w:tcPr>
            <w:tcW w:w="811" w:type="dxa"/>
            <w:tcBorders/>
            <w:vAlign w:val="center"/>
          </w:tcPr>
          <w:p>
            <w:pPr>
              <w:pStyle w:val="TableContents"/>
              <w:bidi w:val="0"/>
              <w:spacing w:before="0" w:after="283"/>
              <w:jc w:val="start"/>
              <w:rPr/>
            </w:pPr>
            <w:r>
              <w:rPr/>
              <w:t xml:space="preserve">48% </w:t>
            </w:r>
          </w:p>
        </w:tc>
        <w:tc>
          <w:tcPr>
            <w:tcW w:w="1486" w:type="dxa"/>
            <w:tcBorders/>
            <w:vAlign w:val="center"/>
          </w:tcPr>
          <w:p>
            <w:pPr>
              <w:pStyle w:val="TableContents"/>
              <w:bidi w:val="0"/>
              <w:spacing w:before="0" w:after="283"/>
              <w:jc w:val="start"/>
              <w:rPr/>
            </w:pPr>
            <w:r>
              <w:rPr/>
              <w:t xml:space="preserve">£185, 111. 96 </w:t>
            </w:r>
          </w:p>
        </w:tc>
        <w:tc>
          <w:tcPr>
            <w:tcW w:w="1726" w:type="dxa"/>
            <w:tcBorders/>
            <w:vAlign w:val="center"/>
          </w:tcPr>
          <w:p>
            <w:pPr>
              <w:pStyle w:val="TableContents"/>
              <w:bidi w:val="0"/>
              <w:spacing w:before="0" w:after="283"/>
              <w:jc w:val="start"/>
              <w:rPr/>
            </w:pPr>
            <w:r>
              <w:rPr/>
              <w:t xml:space="preserve">£1, 050, 125. 00 </w:t>
            </w:r>
          </w:p>
        </w:tc>
        <w:tc>
          <w:tcPr>
            <w:tcW w:w="856" w:type="dxa"/>
            <w:tcBorders/>
            <w:vAlign w:val="center"/>
          </w:tcPr>
          <w:p>
            <w:pPr>
              <w:pStyle w:val="TableContents"/>
              <w:bidi w:val="0"/>
              <w:spacing w:before="0" w:after="283"/>
              <w:jc w:val="start"/>
              <w:rPr/>
            </w:pPr>
            <w:r>
              <w:rPr/>
              <w:t xml:space="preserve">18% </w:t>
            </w:r>
          </w:p>
        </w:tc>
      </w:tr>
      <w:tr>
        <w:trPr/>
        <w:tc>
          <w:tcPr>
            <w:tcW w:w="796" w:type="dxa"/>
            <w:tcBorders/>
            <w:vAlign w:val="center"/>
          </w:tcPr>
          <w:p>
            <w:pPr>
              <w:pStyle w:val="TableContents"/>
              <w:bidi w:val="0"/>
              <w:spacing w:before="0" w:after="283"/>
              <w:jc w:val="start"/>
              <w:rPr/>
            </w:pPr>
            <w:r>
              <w:rPr/>
              <w:t xml:space="preserve">Feb </w:t>
            </w:r>
          </w:p>
        </w:tc>
        <w:tc>
          <w:tcPr>
            <w:tcW w:w="751" w:type="dxa"/>
            <w:tcBorders/>
            <w:vAlign w:val="center"/>
          </w:tcPr>
          <w:p>
            <w:pPr>
              <w:pStyle w:val="TableContents"/>
              <w:bidi w:val="0"/>
              <w:spacing w:before="0" w:after="283"/>
              <w:jc w:val="start"/>
              <w:rPr/>
            </w:pPr>
            <w:r>
              <w:rPr/>
              <w:t xml:space="preserve">5510 </w:t>
            </w:r>
          </w:p>
        </w:tc>
        <w:tc>
          <w:tcPr>
            <w:tcW w:w="841" w:type="dxa"/>
            <w:tcBorders/>
            <w:vAlign w:val="center"/>
          </w:tcPr>
          <w:p>
            <w:pPr>
              <w:pStyle w:val="TableContents"/>
              <w:bidi w:val="0"/>
              <w:spacing w:before="0" w:after="283"/>
              <w:jc w:val="start"/>
              <w:rPr/>
            </w:pPr>
            <w:r>
              <w:rPr/>
              <w:t xml:space="preserve">2755 </w:t>
            </w:r>
          </w:p>
        </w:tc>
        <w:tc>
          <w:tcPr>
            <w:tcW w:w="811" w:type="dxa"/>
            <w:tcBorders/>
            <w:vAlign w:val="center"/>
          </w:tcPr>
          <w:p>
            <w:pPr>
              <w:pStyle w:val="TableContents"/>
              <w:bidi w:val="0"/>
              <w:spacing w:before="0" w:after="283"/>
              <w:jc w:val="start"/>
              <w:rPr/>
            </w:pPr>
            <w:r>
              <w:rPr/>
              <w:t xml:space="preserve">50% </w:t>
            </w:r>
          </w:p>
        </w:tc>
        <w:tc>
          <w:tcPr>
            <w:tcW w:w="1486" w:type="dxa"/>
            <w:tcBorders/>
            <w:vAlign w:val="center"/>
          </w:tcPr>
          <w:p>
            <w:pPr>
              <w:pStyle w:val="TableContents"/>
              <w:bidi w:val="0"/>
              <w:spacing w:before="0" w:after="283"/>
              <w:jc w:val="start"/>
              <w:rPr/>
            </w:pPr>
            <w:r>
              <w:rPr/>
              <w:t xml:space="preserve">£182, 281. 00 </w:t>
            </w:r>
          </w:p>
        </w:tc>
        <w:tc>
          <w:tcPr>
            <w:tcW w:w="1726" w:type="dxa"/>
            <w:tcBorders/>
            <w:vAlign w:val="center"/>
          </w:tcPr>
          <w:p>
            <w:pPr>
              <w:pStyle w:val="TableContents"/>
              <w:bidi w:val="0"/>
              <w:spacing w:before="0" w:after="283"/>
              <w:jc w:val="start"/>
              <w:rPr/>
            </w:pPr>
            <w:r>
              <w:rPr/>
              <w:t xml:space="preserve">£982, 375. 00 </w:t>
            </w:r>
          </w:p>
        </w:tc>
        <w:tc>
          <w:tcPr>
            <w:tcW w:w="856" w:type="dxa"/>
            <w:tcBorders/>
            <w:vAlign w:val="center"/>
          </w:tcPr>
          <w:p>
            <w:pPr>
              <w:pStyle w:val="TableContents"/>
              <w:bidi w:val="0"/>
              <w:spacing w:before="0" w:after="283"/>
              <w:jc w:val="start"/>
              <w:rPr/>
            </w:pPr>
            <w:r>
              <w:rPr/>
              <w:t xml:space="preserve">19% </w:t>
            </w:r>
          </w:p>
        </w:tc>
      </w:tr>
      <w:tr>
        <w:trPr/>
        <w:tc>
          <w:tcPr>
            <w:tcW w:w="796" w:type="dxa"/>
            <w:tcBorders/>
            <w:vAlign w:val="center"/>
          </w:tcPr>
          <w:p>
            <w:pPr>
              <w:pStyle w:val="TableContents"/>
              <w:bidi w:val="0"/>
              <w:spacing w:before="0" w:after="283"/>
              <w:jc w:val="start"/>
              <w:rPr/>
            </w:pPr>
            <w:r>
              <w:rPr/>
              <w:t xml:space="preserve">March </w:t>
            </w:r>
          </w:p>
        </w:tc>
        <w:tc>
          <w:tcPr>
            <w:tcW w:w="751" w:type="dxa"/>
            <w:tcBorders/>
            <w:vAlign w:val="center"/>
          </w:tcPr>
          <w:p>
            <w:pPr>
              <w:pStyle w:val="TableContents"/>
              <w:bidi w:val="0"/>
              <w:spacing w:before="0" w:after="283"/>
              <w:jc w:val="start"/>
              <w:rPr/>
            </w:pPr>
            <w:r>
              <w:rPr/>
              <w:t xml:space="preserve">5890 </w:t>
            </w:r>
          </w:p>
        </w:tc>
        <w:tc>
          <w:tcPr>
            <w:tcW w:w="841" w:type="dxa"/>
            <w:tcBorders/>
            <w:vAlign w:val="center"/>
          </w:tcPr>
          <w:p>
            <w:pPr>
              <w:pStyle w:val="TableContents"/>
              <w:bidi w:val="0"/>
              <w:spacing w:before="0" w:after="283"/>
              <w:jc w:val="start"/>
              <w:rPr/>
            </w:pPr>
            <w:r>
              <w:rPr/>
              <w:t xml:space="preserve">3829 </w:t>
            </w:r>
          </w:p>
        </w:tc>
        <w:tc>
          <w:tcPr>
            <w:tcW w:w="811" w:type="dxa"/>
            <w:tcBorders/>
            <w:vAlign w:val="center"/>
          </w:tcPr>
          <w:p>
            <w:pPr>
              <w:pStyle w:val="TableContents"/>
              <w:bidi w:val="0"/>
              <w:spacing w:before="0" w:after="283"/>
              <w:jc w:val="start"/>
              <w:rPr/>
            </w:pPr>
            <w:r>
              <w:rPr/>
              <w:t xml:space="preserve">65% </w:t>
            </w:r>
          </w:p>
        </w:tc>
        <w:tc>
          <w:tcPr>
            <w:tcW w:w="1486" w:type="dxa"/>
            <w:tcBorders/>
            <w:vAlign w:val="center"/>
          </w:tcPr>
          <w:p>
            <w:pPr>
              <w:pStyle w:val="TableContents"/>
              <w:bidi w:val="0"/>
              <w:spacing w:before="0" w:after="283"/>
              <w:jc w:val="start"/>
              <w:rPr/>
            </w:pPr>
            <w:r>
              <w:rPr/>
              <w:t xml:space="preserve">£262, 516. 24 </w:t>
            </w:r>
          </w:p>
        </w:tc>
        <w:tc>
          <w:tcPr>
            <w:tcW w:w="1726" w:type="dxa"/>
            <w:tcBorders/>
            <w:vAlign w:val="center"/>
          </w:tcPr>
          <w:p>
            <w:pPr>
              <w:pStyle w:val="TableContents"/>
              <w:bidi w:val="0"/>
              <w:spacing w:before="0" w:after="283"/>
              <w:jc w:val="start"/>
              <w:rPr/>
            </w:pPr>
            <w:r>
              <w:rPr/>
              <w:t xml:space="preserve">£1, 050, 125. 00 </w:t>
            </w:r>
          </w:p>
        </w:tc>
        <w:tc>
          <w:tcPr>
            <w:tcW w:w="856" w:type="dxa"/>
            <w:tcBorders/>
            <w:vAlign w:val="center"/>
          </w:tcPr>
          <w:p>
            <w:pPr>
              <w:pStyle w:val="TableContents"/>
              <w:bidi w:val="0"/>
              <w:spacing w:before="0" w:after="283"/>
              <w:jc w:val="start"/>
              <w:rPr/>
            </w:pPr>
            <w:r>
              <w:rPr/>
              <w:t xml:space="preserve">25% </w:t>
            </w:r>
          </w:p>
        </w:tc>
      </w:tr>
      <w:tr>
        <w:trPr/>
        <w:tc>
          <w:tcPr>
            <w:tcW w:w="796" w:type="dxa"/>
            <w:tcBorders/>
            <w:vAlign w:val="center"/>
          </w:tcPr>
          <w:p>
            <w:pPr>
              <w:pStyle w:val="TableContents"/>
              <w:bidi w:val="0"/>
              <w:spacing w:before="0" w:after="283"/>
              <w:jc w:val="start"/>
              <w:rPr/>
            </w:pPr>
            <w:r>
              <w:rPr/>
              <w:t xml:space="preserve">April </w:t>
            </w:r>
          </w:p>
        </w:tc>
        <w:tc>
          <w:tcPr>
            <w:tcW w:w="751" w:type="dxa"/>
            <w:tcBorders/>
            <w:vAlign w:val="center"/>
          </w:tcPr>
          <w:p>
            <w:pPr>
              <w:pStyle w:val="TableContents"/>
              <w:bidi w:val="0"/>
              <w:spacing w:before="0" w:after="283"/>
              <w:jc w:val="start"/>
              <w:rPr/>
            </w:pPr>
            <w:r>
              <w:rPr/>
              <w:t xml:space="preserve">5700 </w:t>
            </w:r>
          </w:p>
        </w:tc>
        <w:tc>
          <w:tcPr>
            <w:tcW w:w="841" w:type="dxa"/>
            <w:tcBorders/>
            <w:vAlign w:val="center"/>
          </w:tcPr>
          <w:p>
            <w:pPr>
              <w:pStyle w:val="TableContents"/>
              <w:bidi w:val="0"/>
              <w:spacing w:before="0" w:after="283"/>
              <w:jc w:val="start"/>
              <w:rPr/>
            </w:pPr>
            <w:r>
              <w:rPr/>
              <w:t xml:space="preserve">3477 </w:t>
            </w:r>
          </w:p>
        </w:tc>
        <w:tc>
          <w:tcPr>
            <w:tcW w:w="811" w:type="dxa"/>
            <w:tcBorders/>
            <w:vAlign w:val="center"/>
          </w:tcPr>
          <w:p>
            <w:pPr>
              <w:pStyle w:val="TableContents"/>
              <w:bidi w:val="0"/>
              <w:spacing w:before="0" w:after="283"/>
              <w:jc w:val="start"/>
              <w:rPr/>
            </w:pPr>
            <w:r>
              <w:rPr/>
              <w:t xml:space="preserve">61% </w:t>
            </w:r>
          </w:p>
        </w:tc>
        <w:tc>
          <w:tcPr>
            <w:tcW w:w="1486" w:type="dxa"/>
            <w:tcBorders/>
            <w:vAlign w:val="center"/>
          </w:tcPr>
          <w:p>
            <w:pPr>
              <w:pStyle w:val="TableContents"/>
              <w:bidi w:val="0"/>
              <w:spacing w:before="0" w:after="283"/>
              <w:jc w:val="start"/>
              <w:rPr/>
            </w:pPr>
            <w:r>
              <w:rPr/>
              <w:t xml:space="preserve">£262, 665. 63 </w:t>
            </w:r>
          </w:p>
        </w:tc>
        <w:tc>
          <w:tcPr>
            <w:tcW w:w="1726" w:type="dxa"/>
            <w:tcBorders/>
            <w:vAlign w:val="center"/>
          </w:tcPr>
          <w:p>
            <w:pPr>
              <w:pStyle w:val="TableContents"/>
              <w:bidi w:val="0"/>
              <w:spacing w:before="0" w:after="283"/>
              <w:jc w:val="start"/>
              <w:rPr/>
            </w:pPr>
            <w:r>
              <w:rPr/>
              <w:t xml:space="preserve">£1, 016, 250. 00 </w:t>
            </w:r>
          </w:p>
        </w:tc>
        <w:tc>
          <w:tcPr>
            <w:tcW w:w="856" w:type="dxa"/>
            <w:tcBorders/>
            <w:vAlign w:val="center"/>
          </w:tcPr>
          <w:p>
            <w:pPr>
              <w:pStyle w:val="TableContents"/>
              <w:bidi w:val="0"/>
              <w:spacing w:before="0" w:after="283"/>
              <w:jc w:val="start"/>
              <w:rPr/>
            </w:pPr>
            <w:r>
              <w:rPr/>
              <w:t xml:space="preserve">26% </w:t>
            </w:r>
          </w:p>
        </w:tc>
      </w:tr>
      <w:tr>
        <w:trPr/>
        <w:tc>
          <w:tcPr>
            <w:tcW w:w="796" w:type="dxa"/>
            <w:tcBorders/>
            <w:vAlign w:val="center"/>
          </w:tcPr>
          <w:p>
            <w:pPr>
              <w:pStyle w:val="TableContents"/>
              <w:bidi w:val="0"/>
              <w:spacing w:before="0" w:after="283"/>
              <w:jc w:val="start"/>
              <w:rPr/>
            </w:pPr>
            <w:r>
              <w:rPr/>
              <w:t xml:space="preserve">May </w:t>
            </w:r>
          </w:p>
        </w:tc>
        <w:tc>
          <w:tcPr>
            <w:tcW w:w="751" w:type="dxa"/>
            <w:tcBorders/>
            <w:vAlign w:val="center"/>
          </w:tcPr>
          <w:p>
            <w:pPr>
              <w:pStyle w:val="TableContents"/>
              <w:bidi w:val="0"/>
              <w:spacing w:before="0" w:after="283"/>
              <w:jc w:val="start"/>
              <w:rPr/>
            </w:pPr>
            <w:r>
              <w:rPr/>
              <w:t xml:space="preserve">5890 </w:t>
            </w:r>
          </w:p>
        </w:tc>
        <w:tc>
          <w:tcPr>
            <w:tcW w:w="841" w:type="dxa"/>
            <w:tcBorders/>
            <w:vAlign w:val="center"/>
          </w:tcPr>
          <w:p>
            <w:pPr>
              <w:pStyle w:val="TableContents"/>
              <w:bidi w:val="0"/>
              <w:spacing w:before="0" w:after="283"/>
              <w:jc w:val="start"/>
              <w:rPr/>
            </w:pPr>
            <w:r>
              <w:rPr/>
              <w:t xml:space="preserve">4653 </w:t>
            </w:r>
          </w:p>
        </w:tc>
        <w:tc>
          <w:tcPr>
            <w:tcW w:w="811" w:type="dxa"/>
            <w:tcBorders/>
            <w:vAlign w:val="center"/>
          </w:tcPr>
          <w:p>
            <w:pPr>
              <w:pStyle w:val="TableContents"/>
              <w:bidi w:val="0"/>
              <w:spacing w:before="0" w:after="283"/>
              <w:jc w:val="start"/>
              <w:rPr/>
            </w:pPr>
            <w:r>
              <w:rPr/>
              <w:t xml:space="preserve">79% </w:t>
            </w:r>
          </w:p>
        </w:tc>
        <w:tc>
          <w:tcPr>
            <w:tcW w:w="1486" w:type="dxa"/>
            <w:tcBorders/>
            <w:vAlign w:val="center"/>
          </w:tcPr>
          <w:p>
            <w:pPr>
              <w:pStyle w:val="TableContents"/>
              <w:bidi w:val="0"/>
              <w:spacing w:before="0" w:after="283"/>
              <w:jc w:val="start"/>
              <w:rPr/>
            </w:pPr>
            <w:r>
              <w:rPr/>
              <w:t xml:space="preserve">£339, 296. 76 </w:t>
            </w:r>
          </w:p>
        </w:tc>
        <w:tc>
          <w:tcPr>
            <w:tcW w:w="1726" w:type="dxa"/>
            <w:tcBorders/>
            <w:vAlign w:val="center"/>
          </w:tcPr>
          <w:p>
            <w:pPr>
              <w:pStyle w:val="TableContents"/>
              <w:bidi w:val="0"/>
              <w:spacing w:before="0" w:after="283"/>
              <w:jc w:val="start"/>
              <w:rPr/>
            </w:pPr>
            <w:r>
              <w:rPr/>
              <w:t xml:space="preserve">£1, 050, 125. 00 </w:t>
            </w:r>
          </w:p>
        </w:tc>
        <w:tc>
          <w:tcPr>
            <w:tcW w:w="856" w:type="dxa"/>
            <w:tcBorders/>
            <w:vAlign w:val="center"/>
          </w:tcPr>
          <w:p>
            <w:pPr>
              <w:pStyle w:val="TableContents"/>
              <w:bidi w:val="0"/>
              <w:spacing w:before="0" w:after="283"/>
              <w:jc w:val="start"/>
              <w:rPr/>
            </w:pPr>
            <w:r>
              <w:rPr/>
              <w:t xml:space="preserve">32% </w:t>
            </w:r>
          </w:p>
        </w:tc>
      </w:tr>
      <w:tr>
        <w:trPr/>
        <w:tc>
          <w:tcPr>
            <w:tcW w:w="796" w:type="dxa"/>
            <w:tcBorders/>
            <w:vAlign w:val="center"/>
          </w:tcPr>
          <w:p>
            <w:pPr>
              <w:pStyle w:val="TableContents"/>
              <w:bidi w:val="0"/>
              <w:spacing w:before="0" w:after="283"/>
              <w:jc w:val="start"/>
              <w:rPr/>
            </w:pPr>
            <w:r>
              <w:rPr/>
              <w:t xml:space="preserve">June </w:t>
            </w:r>
          </w:p>
        </w:tc>
        <w:tc>
          <w:tcPr>
            <w:tcW w:w="751" w:type="dxa"/>
            <w:tcBorders/>
            <w:vAlign w:val="center"/>
          </w:tcPr>
          <w:p>
            <w:pPr>
              <w:pStyle w:val="TableContents"/>
              <w:bidi w:val="0"/>
              <w:spacing w:before="0" w:after="283"/>
              <w:jc w:val="start"/>
              <w:rPr/>
            </w:pPr>
            <w:r>
              <w:rPr/>
              <w:t xml:space="preserve">5700 </w:t>
            </w:r>
          </w:p>
        </w:tc>
        <w:tc>
          <w:tcPr>
            <w:tcW w:w="841" w:type="dxa"/>
            <w:tcBorders/>
            <w:vAlign w:val="center"/>
          </w:tcPr>
          <w:p>
            <w:pPr>
              <w:pStyle w:val="TableContents"/>
              <w:bidi w:val="0"/>
              <w:spacing w:before="0" w:after="283"/>
              <w:jc w:val="start"/>
              <w:rPr/>
            </w:pPr>
            <w:r>
              <w:rPr/>
              <w:t xml:space="preserve">5016 </w:t>
            </w:r>
          </w:p>
        </w:tc>
        <w:tc>
          <w:tcPr>
            <w:tcW w:w="811" w:type="dxa"/>
            <w:tcBorders/>
            <w:vAlign w:val="center"/>
          </w:tcPr>
          <w:p>
            <w:pPr>
              <w:pStyle w:val="TableContents"/>
              <w:bidi w:val="0"/>
              <w:spacing w:before="0" w:after="283"/>
              <w:jc w:val="start"/>
              <w:rPr/>
            </w:pPr>
            <w:r>
              <w:rPr/>
              <w:t xml:space="preserve">88% </w:t>
            </w:r>
          </w:p>
        </w:tc>
        <w:tc>
          <w:tcPr>
            <w:tcW w:w="1486" w:type="dxa"/>
            <w:tcBorders/>
            <w:vAlign w:val="center"/>
          </w:tcPr>
          <w:p>
            <w:pPr>
              <w:pStyle w:val="TableContents"/>
              <w:bidi w:val="0"/>
              <w:spacing w:before="0" w:after="283"/>
              <w:jc w:val="start"/>
              <w:rPr/>
            </w:pPr>
            <w:r>
              <w:rPr/>
              <w:t xml:space="preserve">£407, 349. 36 </w:t>
            </w:r>
          </w:p>
        </w:tc>
        <w:tc>
          <w:tcPr>
            <w:tcW w:w="1726" w:type="dxa"/>
            <w:tcBorders/>
            <w:vAlign w:val="center"/>
          </w:tcPr>
          <w:p>
            <w:pPr>
              <w:pStyle w:val="TableContents"/>
              <w:bidi w:val="0"/>
              <w:spacing w:before="0" w:after="283"/>
              <w:jc w:val="start"/>
              <w:rPr/>
            </w:pPr>
            <w:r>
              <w:rPr/>
              <w:t xml:space="preserve">£1, 016, 250. 00 </w:t>
            </w:r>
          </w:p>
        </w:tc>
        <w:tc>
          <w:tcPr>
            <w:tcW w:w="856" w:type="dxa"/>
            <w:tcBorders/>
            <w:vAlign w:val="center"/>
          </w:tcPr>
          <w:p>
            <w:pPr>
              <w:pStyle w:val="TableContents"/>
              <w:bidi w:val="0"/>
              <w:spacing w:before="0" w:after="283"/>
              <w:jc w:val="start"/>
              <w:rPr/>
            </w:pPr>
            <w:r>
              <w:rPr/>
              <w:t xml:space="preserve">40% </w:t>
            </w:r>
          </w:p>
        </w:tc>
      </w:tr>
      <w:tr>
        <w:trPr/>
        <w:tc>
          <w:tcPr>
            <w:tcW w:w="796" w:type="dxa"/>
            <w:tcBorders/>
            <w:vAlign w:val="center"/>
          </w:tcPr>
          <w:p>
            <w:pPr>
              <w:pStyle w:val="TableContents"/>
              <w:bidi w:val="0"/>
              <w:spacing w:before="0" w:after="283"/>
              <w:jc w:val="start"/>
              <w:rPr/>
            </w:pPr>
            <w:r>
              <w:rPr/>
              <w:t xml:space="preserve">July </w:t>
            </w:r>
          </w:p>
        </w:tc>
        <w:tc>
          <w:tcPr>
            <w:tcW w:w="751" w:type="dxa"/>
            <w:tcBorders/>
            <w:vAlign w:val="center"/>
          </w:tcPr>
          <w:p>
            <w:pPr>
              <w:pStyle w:val="TableContents"/>
              <w:bidi w:val="0"/>
              <w:spacing w:before="0" w:after="283"/>
              <w:jc w:val="start"/>
              <w:rPr/>
            </w:pPr>
            <w:r>
              <w:rPr/>
              <w:t xml:space="preserve">5890 </w:t>
            </w:r>
          </w:p>
        </w:tc>
        <w:tc>
          <w:tcPr>
            <w:tcW w:w="841" w:type="dxa"/>
            <w:tcBorders/>
            <w:vAlign w:val="center"/>
          </w:tcPr>
          <w:p>
            <w:pPr>
              <w:pStyle w:val="TableContents"/>
              <w:bidi w:val="0"/>
              <w:spacing w:before="0" w:after="283"/>
              <w:jc w:val="start"/>
              <w:rPr/>
            </w:pPr>
            <w:r>
              <w:rPr/>
              <w:t xml:space="preserve">4830 </w:t>
            </w:r>
          </w:p>
        </w:tc>
        <w:tc>
          <w:tcPr>
            <w:tcW w:w="811" w:type="dxa"/>
            <w:tcBorders/>
            <w:vAlign w:val="center"/>
          </w:tcPr>
          <w:p>
            <w:pPr>
              <w:pStyle w:val="TableContents"/>
              <w:bidi w:val="0"/>
              <w:spacing w:before="0" w:after="283"/>
              <w:jc w:val="start"/>
              <w:rPr/>
            </w:pPr>
            <w:r>
              <w:rPr/>
              <w:t xml:space="preserve">82% </w:t>
            </w:r>
          </w:p>
        </w:tc>
        <w:tc>
          <w:tcPr>
            <w:tcW w:w="1486" w:type="dxa"/>
            <w:tcBorders/>
            <w:vAlign w:val="center"/>
          </w:tcPr>
          <w:p>
            <w:pPr>
              <w:pStyle w:val="TableContents"/>
              <w:bidi w:val="0"/>
              <w:spacing w:before="0" w:after="283"/>
              <w:jc w:val="start"/>
              <w:rPr/>
            </w:pPr>
            <w:r>
              <w:rPr/>
              <w:t xml:space="preserve">£357, 903. 00 </w:t>
            </w:r>
          </w:p>
        </w:tc>
        <w:tc>
          <w:tcPr>
            <w:tcW w:w="1726" w:type="dxa"/>
            <w:tcBorders/>
            <w:vAlign w:val="center"/>
          </w:tcPr>
          <w:p>
            <w:pPr>
              <w:pStyle w:val="TableContents"/>
              <w:bidi w:val="0"/>
              <w:spacing w:before="0" w:after="283"/>
              <w:jc w:val="start"/>
              <w:rPr/>
            </w:pPr>
            <w:r>
              <w:rPr/>
              <w:t xml:space="preserve">£1, 050, 125. 00 </w:t>
            </w:r>
          </w:p>
        </w:tc>
        <w:tc>
          <w:tcPr>
            <w:tcW w:w="856" w:type="dxa"/>
            <w:tcBorders/>
            <w:vAlign w:val="center"/>
          </w:tcPr>
          <w:p>
            <w:pPr>
              <w:pStyle w:val="TableContents"/>
              <w:bidi w:val="0"/>
              <w:spacing w:before="0" w:after="283"/>
              <w:jc w:val="start"/>
              <w:rPr/>
            </w:pPr>
            <w:r>
              <w:rPr/>
              <w:t xml:space="preserve">34% </w:t>
            </w:r>
          </w:p>
        </w:tc>
      </w:tr>
      <w:tr>
        <w:trPr/>
        <w:tc>
          <w:tcPr>
            <w:tcW w:w="796" w:type="dxa"/>
            <w:tcBorders/>
            <w:vAlign w:val="center"/>
          </w:tcPr>
          <w:p>
            <w:pPr>
              <w:pStyle w:val="TableContents"/>
              <w:bidi w:val="0"/>
              <w:spacing w:before="0" w:after="283"/>
              <w:jc w:val="start"/>
              <w:rPr/>
            </w:pPr>
            <w:r>
              <w:rPr/>
              <w:t xml:space="preserve">Aug </w:t>
            </w:r>
          </w:p>
        </w:tc>
        <w:tc>
          <w:tcPr>
            <w:tcW w:w="751" w:type="dxa"/>
            <w:tcBorders/>
            <w:vAlign w:val="center"/>
          </w:tcPr>
          <w:p>
            <w:pPr>
              <w:pStyle w:val="TableContents"/>
              <w:bidi w:val="0"/>
              <w:spacing w:before="0" w:after="283"/>
              <w:jc w:val="start"/>
              <w:rPr/>
            </w:pPr>
            <w:r>
              <w:rPr/>
              <w:t xml:space="preserve">5890 </w:t>
            </w:r>
          </w:p>
        </w:tc>
        <w:tc>
          <w:tcPr>
            <w:tcW w:w="841" w:type="dxa"/>
            <w:tcBorders/>
            <w:vAlign w:val="center"/>
          </w:tcPr>
          <w:p>
            <w:pPr>
              <w:pStyle w:val="TableContents"/>
              <w:bidi w:val="0"/>
              <w:spacing w:before="0" w:after="283"/>
              <w:jc w:val="start"/>
              <w:rPr/>
            </w:pPr>
            <w:r>
              <w:rPr/>
              <w:t xml:space="preserve">5007 </w:t>
            </w:r>
          </w:p>
        </w:tc>
        <w:tc>
          <w:tcPr>
            <w:tcW w:w="811" w:type="dxa"/>
            <w:tcBorders/>
            <w:vAlign w:val="center"/>
          </w:tcPr>
          <w:p>
            <w:pPr>
              <w:pStyle w:val="TableContents"/>
              <w:bidi w:val="0"/>
              <w:spacing w:before="0" w:after="283"/>
              <w:jc w:val="start"/>
              <w:rPr/>
            </w:pPr>
            <w:r>
              <w:rPr/>
              <w:t xml:space="preserve">85% </w:t>
            </w:r>
          </w:p>
        </w:tc>
        <w:tc>
          <w:tcPr>
            <w:tcW w:w="1486" w:type="dxa"/>
            <w:tcBorders/>
            <w:vAlign w:val="center"/>
          </w:tcPr>
          <w:p>
            <w:pPr>
              <w:pStyle w:val="TableContents"/>
              <w:bidi w:val="0"/>
              <w:spacing w:before="0" w:after="283"/>
              <w:jc w:val="start"/>
              <w:rPr/>
            </w:pPr>
            <w:r>
              <w:rPr/>
              <w:t xml:space="preserve">£420, 688. 14 </w:t>
            </w:r>
          </w:p>
        </w:tc>
        <w:tc>
          <w:tcPr>
            <w:tcW w:w="1726" w:type="dxa"/>
            <w:tcBorders/>
            <w:vAlign w:val="center"/>
          </w:tcPr>
          <w:p>
            <w:pPr>
              <w:pStyle w:val="TableContents"/>
              <w:bidi w:val="0"/>
              <w:spacing w:before="0" w:after="283"/>
              <w:jc w:val="start"/>
              <w:rPr/>
            </w:pPr>
            <w:r>
              <w:rPr/>
              <w:t xml:space="preserve">£1, 050, 125. 00 </w:t>
            </w:r>
          </w:p>
        </w:tc>
        <w:tc>
          <w:tcPr>
            <w:tcW w:w="856" w:type="dxa"/>
            <w:tcBorders/>
            <w:vAlign w:val="center"/>
          </w:tcPr>
          <w:p>
            <w:pPr>
              <w:pStyle w:val="TableContents"/>
              <w:bidi w:val="0"/>
              <w:spacing w:before="0" w:after="283"/>
              <w:jc w:val="start"/>
              <w:rPr/>
            </w:pPr>
            <w:r>
              <w:rPr/>
              <w:t xml:space="preserve">40% </w:t>
            </w:r>
          </w:p>
        </w:tc>
      </w:tr>
      <w:tr>
        <w:trPr/>
        <w:tc>
          <w:tcPr>
            <w:tcW w:w="796" w:type="dxa"/>
            <w:tcBorders/>
            <w:vAlign w:val="center"/>
          </w:tcPr>
          <w:p>
            <w:pPr>
              <w:pStyle w:val="TableContents"/>
              <w:bidi w:val="0"/>
              <w:spacing w:before="0" w:after="283"/>
              <w:jc w:val="start"/>
              <w:rPr/>
            </w:pPr>
            <w:r>
              <w:rPr/>
              <w:t xml:space="preserve">Sep </w:t>
            </w:r>
          </w:p>
        </w:tc>
        <w:tc>
          <w:tcPr>
            <w:tcW w:w="751" w:type="dxa"/>
            <w:tcBorders/>
            <w:vAlign w:val="center"/>
          </w:tcPr>
          <w:p>
            <w:pPr>
              <w:pStyle w:val="TableContents"/>
              <w:bidi w:val="0"/>
              <w:spacing w:before="0" w:after="283"/>
              <w:jc w:val="start"/>
              <w:rPr/>
            </w:pPr>
            <w:r>
              <w:rPr/>
              <w:t xml:space="preserve">5700 </w:t>
            </w:r>
          </w:p>
        </w:tc>
        <w:tc>
          <w:tcPr>
            <w:tcW w:w="841" w:type="dxa"/>
            <w:tcBorders/>
            <w:vAlign w:val="center"/>
          </w:tcPr>
          <w:p>
            <w:pPr>
              <w:pStyle w:val="TableContents"/>
              <w:bidi w:val="0"/>
              <w:spacing w:before="0" w:after="283"/>
              <w:jc w:val="start"/>
              <w:rPr/>
            </w:pPr>
            <w:r>
              <w:rPr/>
              <w:t xml:space="preserve">4731 </w:t>
            </w:r>
          </w:p>
        </w:tc>
        <w:tc>
          <w:tcPr>
            <w:tcW w:w="811" w:type="dxa"/>
            <w:tcBorders/>
            <w:vAlign w:val="center"/>
          </w:tcPr>
          <w:p>
            <w:pPr>
              <w:pStyle w:val="TableContents"/>
              <w:bidi w:val="0"/>
              <w:spacing w:before="0" w:after="283"/>
              <w:jc w:val="start"/>
              <w:rPr/>
            </w:pPr>
            <w:r>
              <w:rPr/>
              <w:t xml:space="preserve">83% </w:t>
            </w:r>
          </w:p>
        </w:tc>
        <w:tc>
          <w:tcPr>
            <w:tcW w:w="1486" w:type="dxa"/>
            <w:tcBorders/>
            <w:vAlign w:val="center"/>
          </w:tcPr>
          <w:p>
            <w:pPr>
              <w:pStyle w:val="TableContents"/>
              <w:bidi w:val="0"/>
              <w:spacing w:before="0" w:after="283"/>
              <w:jc w:val="start"/>
              <w:rPr/>
            </w:pPr>
            <w:r>
              <w:rPr/>
              <w:t xml:space="preserve">£398, 870. 61 </w:t>
            </w:r>
          </w:p>
        </w:tc>
        <w:tc>
          <w:tcPr>
            <w:tcW w:w="1726" w:type="dxa"/>
            <w:tcBorders/>
            <w:vAlign w:val="center"/>
          </w:tcPr>
          <w:p>
            <w:pPr>
              <w:pStyle w:val="TableContents"/>
              <w:bidi w:val="0"/>
              <w:spacing w:before="0" w:after="283"/>
              <w:jc w:val="start"/>
              <w:rPr/>
            </w:pPr>
            <w:r>
              <w:rPr/>
              <w:t xml:space="preserve">£1, 016, 250. 00 </w:t>
            </w:r>
          </w:p>
        </w:tc>
        <w:tc>
          <w:tcPr>
            <w:tcW w:w="856" w:type="dxa"/>
            <w:tcBorders/>
            <w:vAlign w:val="center"/>
          </w:tcPr>
          <w:p>
            <w:pPr>
              <w:pStyle w:val="TableContents"/>
              <w:bidi w:val="0"/>
              <w:spacing w:before="0" w:after="283"/>
              <w:jc w:val="start"/>
              <w:rPr/>
            </w:pPr>
            <w:r>
              <w:rPr/>
              <w:t xml:space="preserve">39% </w:t>
            </w:r>
          </w:p>
        </w:tc>
      </w:tr>
      <w:tr>
        <w:trPr/>
        <w:tc>
          <w:tcPr>
            <w:tcW w:w="796" w:type="dxa"/>
            <w:tcBorders/>
            <w:vAlign w:val="center"/>
          </w:tcPr>
          <w:p>
            <w:pPr>
              <w:pStyle w:val="TableContents"/>
              <w:bidi w:val="0"/>
              <w:spacing w:before="0" w:after="283"/>
              <w:jc w:val="start"/>
              <w:rPr/>
            </w:pPr>
            <w:r>
              <w:rPr/>
              <w:t xml:space="preserve">Oct </w:t>
            </w:r>
          </w:p>
        </w:tc>
        <w:tc>
          <w:tcPr>
            <w:tcW w:w="751" w:type="dxa"/>
            <w:tcBorders/>
            <w:vAlign w:val="center"/>
          </w:tcPr>
          <w:p>
            <w:pPr>
              <w:pStyle w:val="TableContents"/>
              <w:bidi w:val="0"/>
              <w:spacing w:before="0" w:after="283"/>
              <w:jc w:val="start"/>
              <w:rPr/>
            </w:pPr>
            <w:r>
              <w:rPr/>
              <w:t xml:space="preserve">5890 </w:t>
            </w:r>
          </w:p>
        </w:tc>
        <w:tc>
          <w:tcPr>
            <w:tcW w:w="841" w:type="dxa"/>
            <w:tcBorders/>
            <w:vAlign w:val="center"/>
          </w:tcPr>
          <w:p>
            <w:pPr>
              <w:pStyle w:val="TableContents"/>
              <w:bidi w:val="0"/>
              <w:spacing w:before="0" w:after="283"/>
              <w:jc w:val="start"/>
              <w:rPr/>
            </w:pPr>
            <w:r>
              <w:rPr/>
              <w:t xml:space="preserve">4653 </w:t>
            </w:r>
          </w:p>
        </w:tc>
        <w:tc>
          <w:tcPr>
            <w:tcW w:w="811" w:type="dxa"/>
            <w:tcBorders/>
            <w:vAlign w:val="center"/>
          </w:tcPr>
          <w:p>
            <w:pPr>
              <w:pStyle w:val="TableContents"/>
              <w:bidi w:val="0"/>
              <w:spacing w:before="0" w:after="283"/>
              <w:jc w:val="start"/>
              <w:rPr/>
            </w:pPr>
            <w:r>
              <w:rPr/>
              <w:t xml:space="preserve">79% </w:t>
            </w:r>
          </w:p>
        </w:tc>
        <w:tc>
          <w:tcPr>
            <w:tcW w:w="1486" w:type="dxa"/>
            <w:tcBorders/>
            <w:vAlign w:val="center"/>
          </w:tcPr>
          <w:p>
            <w:pPr>
              <w:pStyle w:val="TableContents"/>
              <w:bidi w:val="0"/>
              <w:spacing w:before="0" w:after="283"/>
              <w:jc w:val="start"/>
              <w:rPr/>
            </w:pPr>
            <w:r>
              <w:rPr/>
              <w:t xml:space="preserve">£330, 502. 59 </w:t>
            </w:r>
          </w:p>
        </w:tc>
        <w:tc>
          <w:tcPr>
            <w:tcW w:w="1726" w:type="dxa"/>
            <w:tcBorders/>
            <w:vAlign w:val="center"/>
          </w:tcPr>
          <w:p>
            <w:pPr>
              <w:pStyle w:val="TableContents"/>
              <w:bidi w:val="0"/>
              <w:spacing w:before="0" w:after="283"/>
              <w:jc w:val="start"/>
              <w:rPr/>
            </w:pPr>
            <w:r>
              <w:rPr/>
              <w:t xml:space="preserve">£1, 050, 125. 00 </w:t>
            </w:r>
          </w:p>
        </w:tc>
        <w:tc>
          <w:tcPr>
            <w:tcW w:w="856" w:type="dxa"/>
            <w:tcBorders/>
            <w:vAlign w:val="center"/>
          </w:tcPr>
          <w:p>
            <w:pPr>
              <w:pStyle w:val="TableContents"/>
              <w:bidi w:val="0"/>
              <w:spacing w:before="0" w:after="283"/>
              <w:jc w:val="start"/>
              <w:rPr/>
            </w:pPr>
            <w:r>
              <w:rPr/>
              <w:t xml:space="preserve">31% </w:t>
            </w:r>
          </w:p>
        </w:tc>
      </w:tr>
      <w:tr>
        <w:trPr/>
        <w:tc>
          <w:tcPr>
            <w:tcW w:w="796" w:type="dxa"/>
            <w:tcBorders/>
            <w:vAlign w:val="center"/>
          </w:tcPr>
          <w:p>
            <w:pPr>
              <w:pStyle w:val="TableContents"/>
              <w:bidi w:val="0"/>
              <w:spacing w:before="0" w:after="283"/>
              <w:jc w:val="start"/>
              <w:rPr/>
            </w:pPr>
            <w:r>
              <w:rPr/>
              <w:t xml:space="preserve">Nov </w:t>
            </w:r>
          </w:p>
        </w:tc>
        <w:tc>
          <w:tcPr>
            <w:tcW w:w="751" w:type="dxa"/>
            <w:tcBorders/>
            <w:vAlign w:val="center"/>
          </w:tcPr>
          <w:p>
            <w:pPr>
              <w:pStyle w:val="TableContents"/>
              <w:bidi w:val="0"/>
              <w:spacing w:before="0" w:after="283"/>
              <w:jc w:val="start"/>
              <w:rPr/>
            </w:pPr>
            <w:r>
              <w:rPr/>
              <w:t xml:space="preserve">5700 </w:t>
            </w:r>
          </w:p>
        </w:tc>
        <w:tc>
          <w:tcPr>
            <w:tcW w:w="841" w:type="dxa"/>
            <w:tcBorders/>
            <w:vAlign w:val="center"/>
          </w:tcPr>
          <w:p>
            <w:pPr>
              <w:pStyle w:val="TableContents"/>
              <w:bidi w:val="0"/>
              <w:spacing w:before="0" w:after="283"/>
              <w:jc w:val="start"/>
              <w:rPr/>
            </w:pPr>
            <w:r>
              <w:rPr/>
              <w:t xml:space="preserve">3933 </w:t>
            </w:r>
          </w:p>
        </w:tc>
        <w:tc>
          <w:tcPr>
            <w:tcW w:w="811" w:type="dxa"/>
            <w:tcBorders/>
            <w:vAlign w:val="center"/>
          </w:tcPr>
          <w:p>
            <w:pPr>
              <w:pStyle w:val="TableContents"/>
              <w:bidi w:val="0"/>
              <w:spacing w:before="0" w:after="283"/>
              <w:jc w:val="start"/>
              <w:rPr/>
            </w:pPr>
            <w:r>
              <w:rPr/>
              <w:t xml:space="preserve">69% </w:t>
            </w:r>
          </w:p>
        </w:tc>
        <w:tc>
          <w:tcPr>
            <w:tcW w:w="1486" w:type="dxa"/>
            <w:tcBorders/>
            <w:vAlign w:val="center"/>
          </w:tcPr>
          <w:p>
            <w:pPr>
              <w:pStyle w:val="TableContents"/>
              <w:bidi w:val="0"/>
              <w:spacing w:before="0" w:after="283"/>
              <w:jc w:val="start"/>
              <w:rPr/>
            </w:pPr>
            <w:r>
              <w:rPr/>
              <w:t xml:space="preserve">£256, 077. 63 </w:t>
            </w:r>
          </w:p>
        </w:tc>
        <w:tc>
          <w:tcPr>
            <w:tcW w:w="1726" w:type="dxa"/>
            <w:tcBorders/>
            <w:vAlign w:val="center"/>
          </w:tcPr>
          <w:p>
            <w:pPr>
              <w:pStyle w:val="TableContents"/>
              <w:bidi w:val="0"/>
              <w:spacing w:before="0" w:after="283"/>
              <w:jc w:val="start"/>
              <w:rPr/>
            </w:pPr>
            <w:r>
              <w:rPr/>
              <w:t xml:space="preserve">£1, 016, 250. 00 </w:t>
            </w:r>
          </w:p>
        </w:tc>
        <w:tc>
          <w:tcPr>
            <w:tcW w:w="856" w:type="dxa"/>
            <w:tcBorders/>
            <w:vAlign w:val="center"/>
          </w:tcPr>
          <w:p>
            <w:pPr>
              <w:pStyle w:val="TableContents"/>
              <w:bidi w:val="0"/>
              <w:spacing w:before="0" w:after="283"/>
              <w:jc w:val="start"/>
              <w:rPr/>
            </w:pPr>
            <w:r>
              <w:rPr/>
              <w:t xml:space="preserve">25% </w:t>
            </w:r>
          </w:p>
        </w:tc>
      </w:tr>
      <w:tr>
        <w:trPr/>
        <w:tc>
          <w:tcPr>
            <w:tcW w:w="796" w:type="dxa"/>
            <w:tcBorders/>
            <w:vAlign w:val="center"/>
          </w:tcPr>
          <w:p>
            <w:pPr>
              <w:pStyle w:val="TableContents"/>
              <w:bidi w:val="0"/>
              <w:spacing w:before="0" w:after="283"/>
              <w:jc w:val="start"/>
              <w:rPr/>
            </w:pPr>
            <w:r>
              <w:rPr/>
              <w:t xml:space="preserve">Dec </w:t>
            </w:r>
          </w:p>
        </w:tc>
        <w:tc>
          <w:tcPr>
            <w:tcW w:w="751" w:type="dxa"/>
            <w:tcBorders/>
            <w:vAlign w:val="center"/>
          </w:tcPr>
          <w:p>
            <w:pPr>
              <w:pStyle w:val="TableContents"/>
              <w:bidi w:val="0"/>
              <w:spacing w:before="0" w:after="283"/>
              <w:jc w:val="start"/>
              <w:rPr/>
            </w:pPr>
            <w:r>
              <w:rPr/>
              <w:t xml:space="preserve">5890 </w:t>
            </w:r>
          </w:p>
        </w:tc>
        <w:tc>
          <w:tcPr>
            <w:tcW w:w="841" w:type="dxa"/>
            <w:tcBorders/>
            <w:vAlign w:val="center"/>
          </w:tcPr>
          <w:p>
            <w:pPr>
              <w:pStyle w:val="TableContents"/>
              <w:bidi w:val="0"/>
              <w:spacing w:before="0" w:after="283"/>
              <w:jc w:val="start"/>
              <w:rPr/>
            </w:pPr>
            <w:r>
              <w:rPr/>
              <w:t xml:space="preserve">2768 </w:t>
            </w:r>
          </w:p>
        </w:tc>
        <w:tc>
          <w:tcPr>
            <w:tcW w:w="811" w:type="dxa"/>
            <w:tcBorders/>
            <w:vAlign w:val="center"/>
          </w:tcPr>
          <w:p>
            <w:pPr>
              <w:pStyle w:val="TableContents"/>
              <w:bidi w:val="0"/>
              <w:spacing w:before="0" w:after="283"/>
              <w:jc w:val="start"/>
              <w:rPr/>
            </w:pPr>
            <w:r>
              <w:rPr/>
              <w:t xml:space="preserve">47% </w:t>
            </w:r>
          </w:p>
        </w:tc>
        <w:tc>
          <w:tcPr>
            <w:tcW w:w="1486" w:type="dxa"/>
            <w:tcBorders/>
            <w:vAlign w:val="center"/>
          </w:tcPr>
          <w:p>
            <w:pPr>
              <w:pStyle w:val="TableContents"/>
              <w:bidi w:val="0"/>
              <w:spacing w:before="0" w:after="283"/>
              <w:jc w:val="start"/>
              <w:rPr/>
            </w:pPr>
            <w:r>
              <w:rPr/>
              <w:t xml:space="preserve">£169, 124. 80 </w:t>
            </w:r>
          </w:p>
        </w:tc>
        <w:tc>
          <w:tcPr>
            <w:tcW w:w="1726" w:type="dxa"/>
            <w:tcBorders/>
            <w:vAlign w:val="center"/>
          </w:tcPr>
          <w:p>
            <w:pPr>
              <w:pStyle w:val="TableContents"/>
              <w:bidi w:val="0"/>
              <w:spacing w:before="0" w:after="283"/>
              <w:jc w:val="start"/>
              <w:rPr/>
            </w:pPr>
            <w:r>
              <w:rPr/>
              <w:t xml:space="preserve">£1, 050, 125. 00 </w:t>
            </w:r>
          </w:p>
        </w:tc>
        <w:tc>
          <w:tcPr>
            <w:tcW w:w="856" w:type="dxa"/>
            <w:tcBorders/>
            <w:vAlign w:val="center"/>
          </w:tcPr>
          <w:p>
            <w:pPr>
              <w:pStyle w:val="TableContents"/>
              <w:bidi w:val="0"/>
              <w:spacing w:before="0" w:after="283"/>
              <w:jc w:val="start"/>
              <w:rPr/>
            </w:pPr>
            <w:r>
              <w:rPr/>
              <w:t xml:space="preserve">16% </w:t>
            </w:r>
          </w:p>
        </w:tc>
      </w:tr>
      <w:tr>
        <w:trPr/>
        <w:tc>
          <w:tcPr>
            <w:tcW w:w="796" w:type="dxa"/>
            <w:tcBorders/>
            <w:vAlign w:val="center"/>
          </w:tcPr>
          <w:p>
            <w:pPr>
              <w:pStyle w:val="TableContents"/>
              <w:bidi w:val="0"/>
              <w:spacing w:before="0" w:after="283"/>
              <w:jc w:val="start"/>
              <w:rPr/>
            </w:pPr>
            <w:r>
              <w:rPr/>
              <w:t xml:space="preserve">2005 </w:t>
            </w:r>
          </w:p>
        </w:tc>
        <w:tc>
          <w:tcPr>
            <w:tcW w:w="75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1486" w:type="dxa"/>
            <w:tcBorders/>
            <w:vAlign w:val="center"/>
          </w:tcPr>
          <w:p>
            <w:pPr>
              <w:pStyle w:val="TableContents"/>
              <w:bidi w:val="0"/>
              <w:spacing w:before="0" w:after="283"/>
              <w:jc w:val="start"/>
              <w:rPr>
                <w:sz w:val="4"/>
                <w:szCs w:val="4"/>
              </w:rPr>
            </w:pPr>
            <w:r>
              <w:rPr>
                <w:sz w:val="4"/>
                <w:szCs w:val="4"/>
              </w:rPr>
            </w:r>
          </w:p>
        </w:tc>
        <w:tc>
          <w:tcPr>
            <w:tcW w:w="1726" w:type="dxa"/>
            <w:tcBorders/>
            <w:vAlign w:val="center"/>
          </w:tcPr>
          <w:p>
            <w:pPr>
              <w:pStyle w:val="TableContents"/>
              <w:bidi w:val="0"/>
              <w:spacing w:before="0" w:after="283"/>
              <w:jc w:val="start"/>
              <w:rPr>
                <w:sz w:val="4"/>
                <w:szCs w:val="4"/>
              </w:rPr>
            </w:pPr>
            <w:r>
              <w:rPr>
                <w:sz w:val="4"/>
                <w:szCs w:val="4"/>
              </w:rPr>
            </w:r>
          </w:p>
        </w:tc>
        <w:tc>
          <w:tcPr>
            <w:tcW w:w="856" w:type="dxa"/>
            <w:tcBorders/>
            <w:vAlign w:val="center"/>
          </w:tcPr>
          <w:p>
            <w:pPr>
              <w:pStyle w:val="TableContents"/>
              <w:bidi w:val="0"/>
              <w:spacing w:before="0" w:after="283"/>
              <w:jc w:val="start"/>
              <w:rPr>
                <w:sz w:val="4"/>
                <w:szCs w:val="4"/>
              </w:rPr>
            </w:pPr>
            <w:r>
              <w:rPr>
                <w:sz w:val="4"/>
                <w:szCs w:val="4"/>
              </w:rPr>
            </w:r>
          </w:p>
        </w:tc>
      </w:tr>
      <w:tr>
        <w:trPr/>
        <w:tc>
          <w:tcPr>
            <w:tcW w:w="796" w:type="dxa"/>
            <w:tcBorders/>
            <w:vAlign w:val="center"/>
          </w:tcPr>
          <w:p>
            <w:pPr>
              <w:pStyle w:val="TableContents"/>
              <w:bidi w:val="0"/>
              <w:spacing w:before="0" w:after="283"/>
              <w:jc w:val="start"/>
              <w:rPr/>
            </w:pPr>
            <w:r>
              <w:rPr/>
              <w:t xml:space="preserve">Jan </w:t>
            </w:r>
          </w:p>
        </w:tc>
        <w:tc>
          <w:tcPr>
            <w:tcW w:w="751" w:type="dxa"/>
            <w:tcBorders/>
            <w:vAlign w:val="center"/>
          </w:tcPr>
          <w:p>
            <w:pPr>
              <w:pStyle w:val="TableContents"/>
              <w:bidi w:val="0"/>
              <w:spacing w:before="0" w:after="283"/>
              <w:jc w:val="start"/>
              <w:rPr/>
            </w:pPr>
            <w:r>
              <w:rPr/>
              <w:t xml:space="preserve">5890 </w:t>
            </w:r>
          </w:p>
        </w:tc>
        <w:tc>
          <w:tcPr>
            <w:tcW w:w="841" w:type="dxa"/>
            <w:tcBorders/>
            <w:vAlign w:val="center"/>
          </w:tcPr>
          <w:p>
            <w:pPr>
              <w:pStyle w:val="TableContents"/>
              <w:bidi w:val="0"/>
              <w:spacing w:before="0" w:after="283"/>
              <w:jc w:val="start"/>
              <w:rPr/>
            </w:pPr>
            <w:r>
              <w:rPr/>
              <w:t xml:space="preserve">3122 </w:t>
            </w:r>
          </w:p>
        </w:tc>
        <w:tc>
          <w:tcPr>
            <w:tcW w:w="811" w:type="dxa"/>
            <w:tcBorders/>
            <w:vAlign w:val="center"/>
          </w:tcPr>
          <w:p>
            <w:pPr>
              <w:pStyle w:val="TableContents"/>
              <w:bidi w:val="0"/>
              <w:spacing w:before="0" w:after="283"/>
              <w:jc w:val="start"/>
              <w:rPr/>
            </w:pPr>
            <w:r>
              <w:rPr/>
              <w:t xml:space="preserve">53% </w:t>
            </w:r>
          </w:p>
        </w:tc>
        <w:tc>
          <w:tcPr>
            <w:tcW w:w="1486" w:type="dxa"/>
            <w:tcBorders/>
            <w:vAlign w:val="center"/>
          </w:tcPr>
          <w:p>
            <w:pPr>
              <w:pStyle w:val="TableContents"/>
              <w:bidi w:val="0"/>
              <w:spacing w:before="0" w:after="283"/>
              <w:jc w:val="start"/>
              <w:rPr/>
            </w:pPr>
            <w:r>
              <w:rPr/>
              <w:t xml:space="preserve">£206, 707. 62 </w:t>
            </w:r>
          </w:p>
        </w:tc>
        <w:tc>
          <w:tcPr>
            <w:tcW w:w="1726" w:type="dxa"/>
            <w:tcBorders/>
            <w:vAlign w:val="center"/>
          </w:tcPr>
          <w:p>
            <w:pPr>
              <w:pStyle w:val="TableContents"/>
              <w:bidi w:val="0"/>
              <w:spacing w:before="0" w:after="283"/>
              <w:jc w:val="start"/>
              <w:rPr/>
            </w:pPr>
            <w:r>
              <w:rPr/>
              <w:t xml:space="preserve">£1, 050, 125. 00 </w:t>
            </w:r>
          </w:p>
        </w:tc>
        <w:tc>
          <w:tcPr>
            <w:tcW w:w="856" w:type="dxa"/>
            <w:tcBorders/>
            <w:vAlign w:val="center"/>
          </w:tcPr>
          <w:p>
            <w:pPr>
              <w:pStyle w:val="TableContents"/>
              <w:bidi w:val="0"/>
              <w:spacing w:before="0" w:after="283"/>
              <w:jc w:val="start"/>
              <w:rPr/>
            </w:pPr>
            <w:r>
              <w:rPr/>
              <w:t xml:space="preserve">20% </w:t>
            </w:r>
          </w:p>
        </w:tc>
      </w:tr>
      <w:tr>
        <w:trPr/>
        <w:tc>
          <w:tcPr>
            <w:tcW w:w="796" w:type="dxa"/>
            <w:tcBorders/>
            <w:vAlign w:val="center"/>
          </w:tcPr>
          <w:p>
            <w:pPr>
              <w:pStyle w:val="TableContents"/>
              <w:bidi w:val="0"/>
              <w:spacing w:before="0" w:after="283"/>
              <w:jc w:val="start"/>
              <w:rPr/>
            </w:pPr>
            <w:r>
              <w:rPr/>
              <w:t xml:space="preserve">Feb </w:t>
            </w:r>
          </w:p>
        </w:tc>
        <w:tc>
          <w:tcPr>
            <w:tcW w:w="751" w:type="dxa"/>
            <w:tcBorders/>
            <w:vAlign w:val="center"/>
          </w:tcPr>
          <w:p>
            <w:pPr>
              <w:pStyle w:val="TableContents"/>
              <w:bidi w:val="0"/>
              <w:spacing w:before="0" w:after="283"/>
              <w:jc w:val="start"/>
              <w:rPr/>
            </w:pPr>
            <w:r>
              <w:rPr/>
              <w:t xml:space="preserve">5320 </w:t>
            </w:r>
          </w:p>
        </w:tc>
        <w:tc>
          <w:tcPr>
            <w:tcW w:w="841" w:type="dxa"/>
            <w:tcBorders/>
            <w:vAlign w:val="center"/>
          </w:tcPr>
          <w:p>
            <w:pPr>
              <w:pStyle w:val="TableContents"/>
              <w:bidi w:val="0"/>
              <w:spacing w:before="0" w:after="283"/>
              <w:jc w:val="start"/>
              <w:rPr/>
            </w:pPr>
            <w:r>
              <w:rPr/>
              <w:t xml:space="preserve">2979 </w:t>
            </w:r>
          </w:p>
        </w:tc>
        <w:tc>
          <w:tcPr>
            <w:tcW w:w="811" w:type="dxa"/>
            <w:tcBorders/>
            <w:vAlign w:val="center"/>
          </w:tcPr>
          <w:p>
            <w:pPr>
              <w:pStyle w:val="TableContents"/>
              <w:bidi w:val="0"/>
              <w:spacing w:before="0" w:after="283"/>
              <w:jc w:val="start"/>
              <w:rPr/>
            </w:pPr>
            <w:r>
              <w:rPr/>
              <w:t xml:space="preserve">56% </w:t>
            </w:r>
          </w:p>
        </w:tc>
        <w:tc>
          <w:tcPr>
            <w:tcW w:w="1486" w:type="dxa"/>
            <w:tcBorders/>
            <w:vAlign w:val="center"/>
          </w:tcPr>
          <w:p>
            <w:pPr>
              <w:pStyle w:val="TableContents"/>
              <w:bidi w:val="0"/>
              <w:spacing w:before="0" w:after="283"/>
              <w:jc w:val="start"/>
              <w:rPr/>
            </w:pPr>
            <w:r>
              <w:rPr/>
              <w:t xml:space="preserve">£200, 665. 44 </w:t>
            </w:r>
          </w:p>
        </w:tc>
        <w:tc>
          <w:tcPr>
            <w:tcW w:w="1726" w:type="dxa"/>
            <w:tcBorders/>
            <w:vAlign w:val="center"/>
          </w:tcPr>
          <w:p>
            <w:pPr>
              <w:pStyle w:val="TableContents"/>
              <w:bidi w:val="0"/>
              <w:spacing w:before="0" w:after="283"/>
              <w:jc w:val="start"/>
              <w:rPr/>
            </w:pPr>
            <w:r>
              <w:rPr/>
              <w:t xml:space="preserve">£948, 500. 00 </w:t>
            </w:r>
          </w:p>
        </w:tc>
        <w:tc>
          <w:tcPr>
            <w:tcW w:w="856" w:type="dxa"/>
            <w:tcBorders/>
            <w:vAlign w:val="center"/>
          </w:tcPr>
          <w:p>
            <w:pPr>
              <w:pStyle w:val="TableContents"/>
              <w:bidi w:val="0"/>
              <w:spacing w:before="0" w:after="283"/>
              <w:jc w:val="start"/>
              <w:rPr/>
            </w:pPr>
            <w:r>
              <w:rPr/>
              <w:t xml:space="preserve">21% </w:t>
            </w:r>
          </w:p>
        </w:tc>
      </w:tr>
      <w:tr>
        <w:trPr/>
        <w:tc>
          <w:tcPr>
            <w:tcW w:w="796" w:type="dxa"/>
            <w:tcBorders/>
            <w:vAlign w:val="center"/>
          </w:tcPr>
          <w:p>
            <w:pPr>
              <w:pStyle w:val="TableContents"/>
              <w:bidi w:val="0"/>
              <w:spacing w:before="0" w:after="283"/>
              <w:jc w:val="start"/>
              <w:rPr/>
            </w:pPr>
            <w:r>
              <w:rPr/>
              <w:t xml:space="preserve">March </w:t>
            </w:r>
          </w:p>
        </w:tc>
        <w:tc>
          <w:tcPr>
            <w:tcW w:w="751" w:type="dxa"/>
            <w:tcBorders/>
            <w:vAlign w:val="center"/>
          </w:tcPr>
          <w:p>
            <w:pPr>
              <w:pStyle w:val="TableContents"/>
              <w:bidi w:val="0"/>
              <w:spacing w:before="0" w:after="283"/>
              <w:jc w:val="start"/>
              <w:rPr/>
            </w:pPr>
            <w:r>
              <w:rPr/>
              <w:t xml:space="preserve">5890 </w:t>
            </w:r>
          </w:p>
        </w:tc>
        <w:tc>
          <w:tcPr>
            <w:tcW w:w="841" w:type="dxa"/>
            <w:tcBorders/>
            <w:vAlign w:val="center"/>
          </w:tcPr>
          <w:p>
            <w:pPr>
              <w:pStyle w:val="TableContents"/>
              <w:bidi w:val="0"/>
              <w:spacing w:before="0" w:after="283"/>
              <w:jc w:val="start"/>
              <w:rPr/>
            </w:pPr>
            <w:r>
              <w:rPr/>
              <w:t xml:space="preserve">4123 </w:t>
            </w:r>
          </w:p>
        </w:tc>
        <w:tc>
          <w:tcPr>
            <w:tcW w:w="811" w:type="dxa"/>
            <w:tcBorders/>
            <w:vAlign w:val="center"/>
          </w:tcPr>
          <w:p>
            <w:pPr>
              <w:pStyle w:val="TableContents"/>
              <w:bidi w:val="0"/>
              <w:spacing w:before="0" w:after="283"/>
              <w:jc w:val="start"/>
              <w:rPr/>
            </w:pPr>
            <w:r>
              <w:rPr/>
              <w:t xml:space="preserve">70% </w:t>
            </w:r>
          </w:p>
        </w:tc>
        <w:tc>
          <w:tcPr>
            <w:tcW w:w="1486" w:type="dxa"/>
            <w:tcBorders/>
            <w:vAlign w:val="center"/>
          </w:tcPr>
          <w:p>
            <w:pPr>
              <w:pStyle w:val="TableContents"/>
              <w:bidi w:val="0"/>
              <w:spacing w:before="0" w:after="283"/>
              <w:jc w:val="start"/>
              <w:rPr/>
            </w:pPr>
            <w:r>
              <w:rPr/>
              <w:t xml:space="preserve">£288, 445. 08 </w:t>
            </w:r>
          </w:p>
        </w:tc>
        <w:tc>
          <w:tcPr>
            <w:tcW w:w="1726" w:type="dxa"/>
            <w:tcBorders/>
            <w:vAlign w:val="center"/>
          </w:tcPr>
          <w:p>
            <w:pPr>
              <w:pStyle w:val="TableContents"/>
              <w:bidi w:val="0"/>
              <w:spacing w:before="0" w:after="283"/>
              <w:jc w:val="start"/>
              <w:rPr/>
            </w:pPr>
            <w:r>
              <w:rPr/>
              <w:t xml:space="preserve">£1, 050, 125. 00 </w:t>
            </w:r>
          </w:p>
        </w:tc>
        <w:tc>
          <w:tcPr>
            <w:tcW w:w="856" w:type="dxa"/>
            <w:tcBorders/>
            <w:vAlign w:val="center"/>
          </w:tcPr>
          <w:p>
            <w:pPr>
              <w:pStyle w:val="TableContents"/>
              <w:bidi w:val="0"/>
              <w:spacing w:before="0" w:after="283"/>
              <w:jc w:val="start"/>
              <w:rPr/>
            </w:pPr>
            <w:r>
              <w:rPr/>
              <w:t xml:space="preserve">27% </w:t>
            </w:r>
          </w:p>
        </w:tc>
      </w:tr>
      <w:tr>
        <w:trPr/>
        <w:tc>
          <w:tcPr>
            <w:tcW w:w="796" w:type="dxa"/>
            <w:tcBorders/>
            <w:vAlign w:val="center"/>
          </w:tcPr>
          <w:p>
            <w:pPr>
              <w:pStyle w:val="TableContents"/>
              <w:bidi w:val="0"/>
              <w:spacing w:before="0" w:after="283"/>
              <w:jc w:val="start"/>
              <w:rPr/>
            </w:pPr>
            <w:r>
              <w:rPr/>
              <w:t xml:space="preserve">April </w:t>
            </w:r>
          </w:p>
        </w:tc>
        <w:tc>
          <w:tcPr>
            <w:tcW w:w="751" w:type="dxa"/>
            <w:tcBorders/>
            <w:vAlign w:val="center"/>
          </w:tcPr>
          <w:p>
            <w:pPr>
              <w:pStyle w:val="TableContents"/>
              <w:bidi w:val="0"/>
              <w:spacing w:before="0" w:after="283"/>
              <w:jc w:val="start"/>
              <w:rPr/>
            </w:pPr>
            <w:r>
              <w:rPr/>
              <w:t xml:space="preserve">5700 </w:t>
            </w:r>
          </w:p>
        </w:tc>
        <w:tc>
          <w:tcPr>
            <w:tcW w:w="841" w:type="dxa"/>
            <w:tcBorders/>
            <w:vAlign w:val="center"/>
          </w:tcPr>
          <w:p>
            <w:pPr>
              <w:pStyle w:val="TableContents"/>
              <w:bidi w:val="0"/>
              <w:spacing w:before="0" w:after="283"/>
              <w:jc w:val="start"/>
              <w:rPr/>
            </w:pPr>
            <w:r>
              <w:rPr/>
              <w:t xml:space="preserve">4104 </w:t>
            </w:r>
          </w:p>
        </w:tc>
        <w:tc>
          <w:tcPr>
            <w:tcW w:w="811" w:type="dxa"/>
            <w:tcBorders/>
            <w:vAlign w:val="center"/>
          </w:tcPr>
          <w:p>
            <w:pPr>
              <w:pStyle w:val="TableContents"/>
              <w:bidi w:val="0"/>
              <w:spacing w:before="0" w:after="283"/>
              <w:jc w:val="start"/>
              <w:rPr/>
            </w:pPr>
            <w:r>
              <w:rPr/>
              <w:t xml:space="preserve">72% </w:t>
            </w:r>
          </w:p>
        </w:tc>
        <w:tc>
          <w:tcPr>
            <w:tcW w:w="1486" w:type="dxa"/>
            <w:tcBorders/>
            <w:vAlign w:val="center"/>
          </w:tcPr>
          <w:p>
            <w:pPr>
              <w:pStyle w:val="TableContents"/>
              <w:bidi w:val="0"/>
              <w:spacing w:before="0" w:after="283"/>
              <w:jc w:val="start"/>
              <w:rPr/>
            </w:pPr>
            <w:r>
              <w:rPr/>
              <w:t xml:space="preserve">£271, 315. 44 </w:t>
            </w:r>
          </w:p>
        </w:tc>
        <w:tc>
          <w:tcPr>
            <w:tcW w:w="1726" w:type="dxa"/>
            <w:tcBorders/>
            <w:vAlign w:val="center"/>
          </w:tcPr>
          <w:p>
            <w:pPr>
              <w:pStyle w:val="TableContents"/>
              <w:bidi w:val="0"/>
              <w:spacing w:before="0" w:after="283"/>
              <w:jc w:val="start"/>
              <w:rPr/>
            </w:pPr>
            <w:r>
              <w:rPr/>
              <w:t xml:space="preserve">£1, 016, 250. 00 </w:t>
            </w:r>
          </w:p>
        </w:tc>
        <w:tc>
          <w:tcPr>
            <w:tcW w:w="856" w:type="dxa"/>
            <w:tcBorders/>
            <w:vAlign w:val="center"/>
          </w:tcPr>
          <w:p>
            <w:pPr>
              <w:pStyle w:val="TableContents"/>
              <w:bidi w:val="0"/>
              <w:spacing w:before="0" w:after="283"/>
              <w:jc w:val="start"/>
              <w:rPr/>
            </w:pPr>
            <w:r>
              <w:rPr/>
              <w:t xml:space="preserve">27%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https://assignbuster.com/regent-hotel-case-study-on-pricing-and-weaknesses/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Regent hotel: case study on pricing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ent-hotel-case-study-on-pricing-and-weakn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Regent hotel: case study on pricing and weaknesses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Regent hotel: case study on pricing and weaknesses</dc:title>
  <dc:subject>Others;</dc:subject>
  <dc:creator>AssignBuster</dc:creator>
  <cp:keywords/>
  <dc:description>However, it is important to review the pricing strategy of the bar and restaurant, to ensure that these are not priced so high as to drive away guests...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