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"https://assignbuster.com/creative-furniture/"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Creative furniture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Shipping crate seat Reclaimed materials uses: a shipping crate, cushions from an old seat and timber from an old wooden door. With nails removed fromthe wooden door. </w:t>
        <w:br/>
        <w:t xml:space="preserve">First the door and the top of the shipping crate are removed. A strip of wood is then nailed to the inside of the crate at the half height position so that timber can be nailed on the strip to create the seat part of the chair. Other timbers from the door are then nailed on the back to form the back rest. The cushions from the old chair are placed on the shipping crate seat for comfort. </w:t>
        <w:br/>
        <w:t xml:space="preserve">Write Up. </w:t>
        <w:br/>
        <w:t xml:space="preserve">It was fun creating this shipping crate seat from reclaimed materials. It shows that these materials can be reused for the benefit of the society rather than throwing them away. The seat made is capable of supporting an adult weighing 200 lbs. The space below the seat cab be used for keeping books.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https://assignbuster.com/creative-furniture/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Creative furniture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Creative furniture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furniture</dc:title>
  <dc:subject>History;</dc:subject>
  <dc:creator>AssignBuster</dc:creator>
  <cp:keywords/>
  <dc:description>The cushions from the old chair are placed on the shipping crate seat for comfort.</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