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Desorption ionization methods essay</w:t>
        </w:r>
      </w:hyperlink>
      <w:bookmarkEnd w:id="0"/>
    </w:p>
    <w:p>
      <w:r>
        <w:br w:type="page"/>
      </w:r>
    </w:p>
    <w:p>
      <w:pPr>
        <w:pStyle w:val="TextBody"/>
        <w:bidi w:val="0"/>
        <w:jc w:val="start"/>
        <w:rPr/>
      </w:pPr>
      <w:r>
        <w:rPr/>
        <w:t xml:space="preserve">Pharmaceutical science </w:t>
      </w:r>
    </w:p>
    <w:p>
      <w:pPr>
        <w:pStyle w:val="TextBody"/>
        <w:bidi w:val="0"/>
        <w:spacing w:before="0" w:after="283"/>
        <w:jc w:val="start"/>
        <w:rPr/>
      </w:pPr>
      <w:r>
        <w:rPr/>
        <w:t xml:space="preserve">Desorption ionization methods owning a powerful capability in pharmaceutical field in which the ionization sources provided by the respective mass spectrometers was able to minimize the damage causing any variations in molecular structures of the samples (Monagas, Quintanilla-López, Gómez-Cordovés, Bartolomé, &amp; Lebrón-Aguilar, 2010). The prevention can be done by using ideal matrix mixed with the analytes, owning properties of strong absorption, good mixing and having low vapor pressure. With these properties the mass spectrometer are able more accurate in determine the intact molecular m/z value of the analytes. </w:t>
      </w:r>
    </w:p>
    <w:p>
      <w:pPr>
        <w:pStyle w:val="TextBody"/>
        <w:bidi w:val="0"/>
        <w:jc w:val="start"/>
        <w:rPr>
          <w:u w:val="single"/>
        </w:rPr>
      </w:pPr>
      <w:r>
        <w:rPr>
          <w:u w:val="single"/>
        </w:rPr>
        <w:t xml:space="preserve">MALDI-TOF MS </w:t>
      </w:r>
    </w:p>
    <w:p>
      <w:pPr>
        <w:pStyle w:val="TextBody"/>
        <w:bidi w:val="0"/>
        <w:spacing w:before="0" w:after="283"/>
        <w:jc w:val="start"/>
        <w:rPr/>
      </w:pPr>
      <w:r>
        <w:rPr/>
        <w:t xml:space="preserve">Huge numbers of researchers was reported a species that associate with various benefits in health known as proanthocyanidins , a polyphenols compounds which having properties of cardiovascular and neurodegenerative diseases prevention (Aron &amp; Kennedy, 2008). Several authors were characterized proanthocynidins in both plants and non-plants foods by the application of MALDI-TOF MS in term different mode of detection and mass species. Two different mode of detection, reflectron mode and linear mode, have been well applied in proanthocynidins analysis. By using MALDI-TOF MS applying on proanthocynidins analysis owning a great advantages in minimize the difficulty in interpret the spectra in which it used single-charged molecular ions for detection that can eliminate those impurities peak that generate by other sources (Monagas, Quintanilla-López, Gómez-Cordovés, Bartolomé, &amp; Lebrón-Aguilar, 2010). </w:t>
      </w:r>
    </w:p>
    <w:p>
      <w:pPr>
        <w:pStyle w:val="TextBody"/>
        <w:bidi w:val="0"/>
        <w:spacing w:before="0" w:after="283"/>
        <w:jc w:val="start"/>
        <w:rPr/>
      </w:pPr>
      <w:r>
        <w:rPr/>
        <w:t xml:space="preserve">The proanthocynidins are essential in food plants and non-food plants sample. This review was provides three example for both plants that are available in journal article. For the food plants, apple juice procyanidins was detected by MALDI-TOF MS in linear mode by both [M+Na] </w:t>
      </w:r>
      <w:r>
        <w:rPr>
          <w:position w:val="8"/>
          <w:sz w:val="19"/>
        </w:rPr>
        <w:t xml:space="preserve">+ </w:t>
      </w:r>
      <w:r>
        <w:rPr/>
        <w:t xml:space="preserve">and [M+K] </w:t>
      </w:r>
      <w:r>
        <w:rPr>
          <w:position w:val="8"/>
          <w:sz w:val="19"/>
        </w:rPr>
        <w:t xml:space="preserve">+ </w:t>
      </w:r>
      <w:r>
        <w:rPr/>
        <w:t xml:space="preserve">had been well studies by Shoji, et al. (2006). The authors were concluded that the apple juice procyanidins was exit as B-type procyanidins and the observed mass of the species reported as [M+K] </w:t>
      </w:r>
      <w:r>
        <w:rPr>
          <w:position w:val="8"/>
          <w:sz w:val="19"/>
        </w:rPr>
        <w:t xml:space="preserve">+ </w:t>
      </w:r>
      <w:r>
        <w:rPr/>
        <w:t xml:space="preserve">are higher than [M+Na] </w:t>
      </w:r>
      <w:r>
        <w:rPr>
          <w:position w:val="8"/>
          <w:sz w:val="19"/>
        </w:rPr>
        <w:t xml:space="preserve">+ </w:t>
      </w:r>
      <w:r>
        <w:rPr/>
        <w:t xml:space="preserve">. Other foods plant, Grape seeds, was reported by Krueger, et al. (2000) as [M+Na] </w:t>
      </w:r>
      <w:r>
        <w:rPr>
          <w:position w:val="8"/>
          <w:sz w:val="19"/>
        </w:rPr>
        <w:t xml:space="preserve">+ </w:t>
      </w:r>
      <w:r>
        <w:rPr/>
        <w:t xml:space="preserve">in both reflectron and linear mode. The type of proanthocyanidin was being detected are B-type procyanidins and galloylated (esterified form) in various range of degree of polymerization (DP). It was found that the linear mode can be detected up to DP 11 while reflectron mode only can detect up to DP 9. Besides, Krueger, et al. in 2003 was reported another foods plant, Sorghum ( </w:t>
      </w:r>
      <w:r>
        <w:rPr>
          <w:rStyle w:val="Emphasis"/>
        </w:rPr>
        <w:t xml:space="preserve">Sorghum bicolor (L.) Moench), </w:t>
      </w:r>
      <w:r>
        <w:rPr/>
        <w:t xml:space="preserve">as [M+Cs] </w:t>
      </w:r>
      <w:r>
        <w:rPr>
          <w:position w:val="8"/>
          <w:sz w:val="19"/>
        </w:rPr>
        <w:t xml:space="preserve">+ </w:t>
      </w:r>
      <w:r>
        <w:rPr/>
        <w:t xml:space="preserve">in the reflectron mode was able to detect A- and B-type procyanidins and prodelphinidins. Due to the complexity of this food plant, the authors enable the detection up to DP9 containing up to 5 A-type linkages and confirming the abundance of the linkages in Sorghum (Krueger, Vestling, &amp; Reed, 2003). </w:t>
      </w:r>
    </w:p>
    <w:p>
      <w:pPr>
        <w:pStyle w:val="TextBody"/>
        <w:bidi w:val="0"/>
        <w:spacing w:before="0" w:after="283"/>
        <w:jc w:val="start"/>
        <w:rPr/>
      </w:pPr>
      <w:r>
        <w:rPr/>
        <w:t xml:space="preserve">On the other hand, non-food plants proanthocynidins can also applied by MALDI-TOF MS. However, in the application of non-food plants, unlike application in food plants, Hedqvist, et al. (2000) was reported the </w:t>
      </w:r>
      <w:r>
        <w:rPr>
          <w:rStyle w:val="Emphasis"/>
        </w:rPr>
        <w:t xml:space="preserve">Lotus corniculatus </w:t>
      </w:r>
      <w:r>
        <w:rPr/>
        <w:t xml:space="preserve">(var. Fargus) have presented B-type procyanidins and prodelphinidins by the application in both reflectron and linear mode were detected as [M+Na] </w:t>
      </w:r>
      <w:r>
        <w:rPr>
          <w:position w:val="8"/>
          <w:sz w:val="19"/>
        </w:rPr>
        <w:t xml:space="preserve">+ </w:t>
      </w:r>
      <w:r>
        <w:rPr/>
        <w:t xml:space="preserve">. By establishing reflectron mode, B-type procynanidins and prodelphinidins in acetylated form in bark of </w:t>
      </w:r>
      <w:r>
        <w:rPr>
          <w:rStyle w:val="Emphasis"/>
        </w:rPr>
        <w:t xml:space="preserve">Pinus radiata </w:t>
      </w:r>
      <w:r>
        <w:rPr/>
        <w:t xml:space="preserve">were reported by Ku and Mun (2007). Besides, profisetinidins and prorobinetinidins in heartwood of Quebracho ( </w:t>
      </w:r>
      <w:r>
        <w:rPr>
          <w:rStyle w:val="Emphasis"/>
        </w:rPr>
        <w:t xml:space="preserve">Schinopsis balansae </w:t>
      </w:r>
      <w:r>
        <w:rPr/>
        <w:t xml:space="preserve">) were reported by Vivas, et al. (2004). </w:t>
      </w:r>
    </w:p>
    <w:p>
      <w:pPr>
        <w:pStyle w:val="TextBody"/>
        <w:bidi w:val="0"/>
        <w:spacing w:before="0" w:after="283"/>
        <w:jc w:val="start"/>
        <w:rPr/>
      </w:pPr>
      <w:r>
        <w:rPr/>
        <w:t xml:space="preserve">Table 1: Characterization of proanthocyanidins from both food plants and non-food plants by MALDI-TOF MS analysis </w:t>
      </w:r>
    </w:p>
    <w:tbl>
      <w:tblPr>
        <w:tblW w:w="8647" w:type="dxa"/>
        <w:jc w:val="start"/>
        <w:tblInd w:w="0" w:type="dxa"/>
        <w:tblLayout w:type="fixed"/>
        <w:tblCellMar>
          <w:top w:w="28" w:type="dxa"/>
          <w:start w:w="28" w:type="dxa"/>
          <w:bottom w:w="28" w:type="dxa"/>
          <w:end w:w="28" w:type="dxa"/>
        </w:tblCellMar>
      </w:tblPr>
      <w:tblGrid>
        <w:gridCol w:w="1186"/>
        <w:gridCol w:w="1276"/>
        <w:gridCol w:w="1006"/>
        <w:gridCol w:w="691"/>
        <w:gridCol w:w="1711"/>
        <w:gridCol w:w="1666"/>
        <w:gridCol w:w="1111"/>
      </w:tblGrid>
      <w:tr>
        <w:trPr/>
        <w:tc>
          <w:tcPr>
            <w:tcW w:w="1186" w:type="dxa"/>
            <w:tcBorders/>
            <w:vAlign w:val="center"/>
          </w:tcPr>
          <w:p>
            <w:pPr>
              <w:pStyle w:val="TableContents"/>
              <w:bidi w:val="0"/>
              <w:spacing w:before="0" w:after="283"/>
              <w:jc w:val="start"/>
              <w:rPr/>
            </w:pPr>
            <w:r>
              <w:rPr/>
              <w:t xml:space="preserve">Materials </w:t>
            </w:r>
          </w:p>
        </w:tc>
        <w:tc>
          <w:tcPr>
            <w:tcW w:w="1276" w:type="dxa"/>
            <w:tcBorders/>
            <w:vAlign w:val="center"/>
          </w:tcPr>
          <w:p>
            <w:pPr>
              <w:pStyle w:val="TableContents"/>
              <w:bidi w:val="0"/>
              <w:spacing w:before="0" w:after="283"/>
              <w:jc w:val="start"/>
              <w:rPr/>
            </w:pPr>
            <w:r>
              <w:rPr/>
              <w:t xml:space="preserve">Substrate </w:t>
            </w:r>
          </w:p>
        </w:tc>
        <w:tc>
          <w:tcPr>
            <w:tcW w:w="1006" w:type="dxa"/>
            <w:tcBorders/>
            <w:vAlign w:val="center"/>
          </w:tcPr>
          <w:p>
            <w:pPr>
              <w:pStyle w:val="TableContents"/>
              <w:bidi w:val="0"/>
              <w:spacing w:before="0" w:after="283"/>
              <w:jc w:val="start"/>
              <w:rPr/>
            </w:pPr>
            <w:r>
              <w:rPr/>
              <w:t xml:space="preserve">Mode </w:t>
            </w:r>
          </w:p>
        </w:tc>
        <w:tc>
          <w:tcPr>
            <w:tcW w:w="691" w:type="dxa"/>
            <w:tcBorders/>
            <w:vAlign w:val="center"/>
          </w:tcPr>
          <w:p>
            <w:pPr>
              <w:pStyle w:val="TableContents"/>
              <w:bidi w:val="0"/>
              <w:spacing w:before="0" w:after="283"/>
              <w:jc w:val="start"/>
              <w:rPr/>
            </w:pPr>
            <w:r>
              <w:rPr/>
              <w:t xml:space="preserve">Mass specie </w:t>
            </w:r>
          </w:p>
        </w:tc>
        <w:tc>
          <w:tcPr>
            <w:tcW w:w="1711" w:type="dxa"/>
            <w:tcBorders/>
            <w:vAlign w:val="center"/>
          </w:tcPr>
          <w:p>
            <w:pPr>
              <w:pStyle w:val="TableContents"/>
              <w:bidi w:val="0"/>
              <w:spacing w:before="0" w:after="283"/>
              <w:jc w:val="start"/>
              <w:rPr/>
            </w:pPr>
            <w:r>
              <w:rPr/>
              <w:t xml:space="preserve">Observed mass </w:t>
            </w:r>
          </w:p>
        </w:tc>
        <w:tc>
          <w:tcPr>
            <w:tcW w:w="1666" w:type="dxa"/>
            <w:tcBorders/>
            <w:vAlign w:val="center"/>
          </w:tcPr>
          <w:p>
            <w:pPr>
              <w:pStyle w:val="TableContents"/>
              <w:bidi w:val="0"/>
              <w:spacing w:before="0" w:after="283"/>
              <w:jc w:val="start"/>
              <w:rPr/>
            </w:pPr>
            <w:r>
              <w:rPr/>
              <w:t xml:space="preserve">Proanthocynidin type </w:t>
            </w:r>
          </w:p>
        </w:tc>
        <w:tc>
          <w:tcPr>
            <w:tcW w:w="1111" w:type="dxa"/>
            <w:tcBorders/>
            <w:vAlign w:val="center"/>
          </w:tcPr>
          <w:p>
            <w:pPr>
              <w:pStyle w:val="TableContents"/>
              <w:bidi w:val="0"/>
              <w:spacing w:before="0" w:after="283"/>
              <w:jc w:val="start"/>
              <w:rPr/>
            </w:pPr>
            <w:r>
              <w:rPr/>
              <w:t xml:space="preserve">Reference </w:t>
            </w:r>
          </w:p>
        </w:tc>
      </w:tr>
      <w:tr>
        <w:trPr/>
        <w:tc>
          <w:tcPr>
            <w:tcW w:w="1186" w:type="dxa"/>
            <w:tcBorders/>
            <w:vAlign w:val="center"/>
          </w:tcPr>
          <w:p>
            <w:pPr>
              <w:pStyle w:val="TableContents"/>
              <w:bidi w:val="0"/>
              <w:spacing w:before="0" w:after="283"/>
              <w:jc w:val="start"/>
              <w:rPr/>
            </w:pPr>
            <w:r>
              <w:rPr/>
              <w:t xml:space="preserve">Food plants </w:t>
            </w:r>
          </w:p>
        </w:tc>
        <w:tc>
          <w:tcPr>
            <w:tcW w:w="1276" w:type="dxa"/>
            <w:tcBorders/>
            <w:vAlign w:val="center"/>
          </w:tcPr>
          <w:p>
            <w:pPr>
              <w:pStyle w:val="TableContents"/>
              <w:bidi w:val="0"/>
              <w:spacing w:before="0" w:after="283"/>
              <w:jc w:val="start"/>
              <w:rPr/>
            </w:pPr>
            <w:r>
              <w:rPr/>
              <w:t xml:space="preserve">Apple juice </w:t>
            </w:r>
          </w:p>
        </w:tc>
        <w:tc>
          <w:tcPr>
            <w:tcW w:w="1006" w:type="dxa"/>
            <w:tcBorders/>
            <w:vAlign w:val="center"/>
          </w:tcPr>
          <w:p>
            <w:pPr>
              <w:pStyle w:val="TableContents"/>
              <w:bidi w:val="0"/>
              <w:spacing w:before="0" w:after="283"/>
              <w:jc w:val="start"/>
              <w:rPr/>
            </w:pPr>
            <w:r>
              <w:rPr/>
              <w:t xml:space="preserve">Liner </w:t>
            </w:r>
          </w:p>
        </w:tc>
        <w:tc>
          <w:tcPr>
            <w:tcW w:w="691" w:type="dxa"/>
            <w:tcBorders/>
            <w:vAlign w:val="center"/>
          </w:tcPr>
          <w:p>
            <w:pPr>
              <w:pStyle w:val="TableContents"/>
              <w:bidi w:val="0"/>
              <w:jc w:val="start"/>
              <w:rPr/>
            </w:pPr>
            <w:r>
              <w:rPr/>
              <w:t xml:space="preserve">[M+Na] </w:t>
            </w:r>
            <w:r>
              <w:rPr>
                <w:position w:val="8"/>
                <w:sz w:val="19"/>
              </w:rPr>
              <w:t xml:space="preserve">+ </w:t>
            </w:r>
          </w:p>
          <w:p>
            <w:pPr>
              <w:pStyle w:val="TableContents"/>
              <w:bidi w:val="0"/>
              <w:spacing w:before="0" w:after="283"/>
              <w:jc w:val="start"/>
              <w:rPr/>
            </w:pPr>
            <w:r>
              <w:rPr/>
              <w:t xml:space="preserve">[M+K] </w:t>
            </w:r>
            <w:r>
              <w:rPr>
                <w:position w:val="8"/>
                <w:sz w:val="19"/>
              </w:rPr>
              <w:t xml:space="preserve">+ </w:t>
            </w:r>
          </w:p>
        </w:tc>
        <w:tc>
          <w:tcPr>
            <w:tcW w:w="1711" w:type="dxa"/>
            <w:tcBorders/>
            <w:vAlign w:val="center"/>
          </w:tcPr>
          <w:p>
            <w:pPr>
              <w:pStyle w:val="TableContents"/>
              <w:bidi w:val="0"/>
              <w:jc w:val="start"/>
              <w:rPr/>
            </w:pPr>
            <w:r>
              <w:rPr/>
              <w:t xml:space="preserve">1754-2907 </w:t>
            </w:r>
          </w:p>
          <w:p>
            <w:pPr>
              <w:pStyle w:val="TableContents"/>
              <w:bidi w:val="0"/>
              <w:spacing w:before="0" w:after="283"/>
              <w:jc w:val="start"/>
              <w:rPr/>
            </w:pPr>
            <w:r>
              <w:rPr/>
              <w:t xml:space="preserve">1770-2923 </w:t>
            </w:r>
          </w:p>
        </w:tc>
        <w:tc>
          <w:tcPr>
            <w:tcW w:w="1666" w:type="dxa"/>
            <w:tcBorders/>
            <w:vAlign w:val="center"/>
          </w:tcPr>
          <w:p>
            <w:pPr>
              <w:pStyle w:val="TableContents"/>
              <w:bidi w:val="0"/>
              <w:spacing w:before="0" w:after="283"/>
              <w:jc w:val="start"/>
              <w:rPr/>
            </w:pPr>
            <w:r>
              <w:rPr/>
              <w:t xml:space="preserve">B-type procynanidins </w:t>
            </w:r>
          </w:p>
        </w:tc>
        <w:tc>
          <w:tcPr>
            <w:tcW w:w="1111" w:type="dxa"/>
            <w:tcBorders/>
            <w:vAlign w:val="center"/>
          </w:tcPr>
          <w:p>
            <w:pPr>
              <w:pStyle w:val="TableContents"/>
              <w:bidi w:val="0"/>
              <w:spacing w:before="0" w:after="283"/>
              <w:jc w:val="start"/>
              <w:rPr/>
            </w:pPr>
            <w:r>
              <w:rPr/>
              <w:t xml:space="preserve">Shoji et al. (2006) </w:t>
            </w:r>
          </w:p>
        </w:tc>
      </w:tr>
      <w:tr>
        <w:trPr/>
        <w:tc>
          <w:tcPr>
            <w:tcW w:w="1186" w:type="dxa"/>
            <w:tcBorders/>
            <w:vAlign w:val="center"/>
          </w:tcPr>
          <w:p>
            <w:pPr>
              <w:pStyle w:val="TableContents"/>
              <w:bidi w:val="0"/>
              <w:spacing w:before="0" w:after="283"/>
              <w:jc w:val="start"/>
              <w:rPr/>
            </w:pPr>
            <w:r>
              <w:rPr/>
              <w:t xml:space="preserve">Grape seeds </w:t>
            </w:r>
          </w:p>
        </w:tc>
        <w:tc>
          <w:tcPr>
            <w:tcW w:w="1276" w:type="dxa"/>
            <w:tcBorders/>
            <w:vAlign w:val="center"/>
          </w:tcPr>
          <w:p>
            <w:pPr>
              <w:pStyle w:val="TableContents"/>
              <w:bidi w:val="0"/>
              <w:jc w:val="start"/>
              <w:rPr/>
            </w:pPr>
            <w:r>
              <w:rPr/>
              <w:t xml:space="preserve">Reflectron </w:t>
            </w:r>
          </w:p>
          <w:p>
            <w:pPr>
              <w:pStyle w:val="TableContents"/>
              <w:bidi w:val="0"/>
              <w:spacing w:before="0" w:after="283"/>
              <w:jc w:val="start"/>
              <w:rPr/>
            </w:pPr>
            <w:r>
              <w:rPr/>
              <w:t xml:space="preserve">Liner </w:t>
            </w:r>
          </w:p>
        </w:tc>
        <w:tc>
          <w:tcPr>
            <w:tcW w:w="1006" w:type="dxa"/>
            <w:tcBorders/>
            <w:vAlign w:val="center"/>
          </w:tcPr>
          <w:p>
            <w:pPr>
              <w:pStyle w:val="TableContents"/>
              <w:bidi w:val="0"/>
              <w:jc w:val="start"/>
              <w:rPr/>
            </w:pPr>
            <w:r>
              <w:rPr/>
              <w:t xml:space="preserve">[M+Na] </w:t>
            </w:r>
            <w:r>
              <w:rPr>
                <w:position w:val="8"/>
                <w:sz w:val="19"/>
              </w:rPr>
              <w:t xml:space="preserve">+ </w:t>
            </w:r>
          </w:p>
          <w:p>
            <w:pPr>
              <w:pStyle w:val="TableContents"/>
              <w:bidi w:val="0"/>
              <w:spacing w:before="0" w:after="283"/>
              <w:jc w:val="start"/>
              <w:rPr/>
            </w:pPr>
            <w:r>
              <w:rPr/>
              <w:t xml:space="preserve">[M+Na] </w:t>
            </w:r>
            <w:r>
              <w:rPr>
                <w:position w:val="8"/>
                <w:sz w:val="19"/>
              </w:rPr>
              <w:t xml:space="preserve">+ </w:t>
            </w:r>
          </w:p>
        </w:tc>
        <w:tc>
          <w:tcPr>
            <w:tcW w:w="691" w:type="dxa"/>
            <w:tcBorders/>
            <w:vAlign w:val="center"/>
          </w:tcPr>
          <w:p>
            <w:pPr>
              <w:pStyle w:val="TableContents"/>
              <w:bidi w:val="0"/>
              <w:jc w:val="start"/>
              <w:rPr/>
            </w:pPr>
            <w:r>
              <w:rPr/>
              <w:t xml:space="preserve">601-2618 </w:t>
            </w:r>
          </w:p>
          <w:p>
            <w:pPr>
              <w:pStyle w:val="TableContents"/>
              <w:bidi w:val="0"/>
              <w:spacing w:before="0" w:after="283"/>
              <w:jc w:val="start"/>
              <w:rPr/>
            </w:pPr>
            <w:r>
              <w:rPr/>
              <w:t xml:space="preserve">600-3349 </w:t>
            </w:r>
          </w:p>
        </w:tc>
        <w:tc>
          <w:tcPr>
            <w:tcW w:w="1711" w:type="dxa"/>
            <w:tcBorders/>
            <w:vAlign w:val="center"/>
          </w:tcPr>
          <w:p>
            <w:pPr>
              <w:pStyle w:val="TableContents"/>
              <w:bidi w:val="0"/>
              <w:spacing w:before="0" w:after="283"/>
              <w:jc w:val="start"/>
              <w:rPr/>
            </w:pPr>
            <w:r>
              <w:rPr/>
              <w:t xml:space="preserve">B-type procynanidins, galloylated </w:t>
            </w:r>
          </w:p>
        </w:tc>
        <w:tc>
          <w:tcPr>
            <w:tcW w:w="1666" w:type="dxa"/>
            <w:tcBorders/>
            <w:vAlign w:val="center"/>
          </w:tcPr>
          <w:p>
            <w:pPr>
              <w:pStyle w:val="TableContents"/>
              <w:bidi w:val="0"/>
              <w:spacing w:before="0" w:after="283"/>
              <w:jc w:val="start"/>
              <w:rPr/>
            </w:pPr>
            <w:r>
              <w:rPr/>
              <w:t xml:space="preserve">Krueger et al. (2000) </w:t>
            </w:r>
          </w:p>
        </w:tc>
        <w:tc>
          <w:tcPr>
            <w:tcW w:w="11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Sorghum ( </w:t>
            </w:r>
            <w:r>
              <w:rPr>
                <w:rStyle w:val="Emphasis"/>
              </w:rPr>
              <w:t xml:space="preserve">Sorghum bicolor (L.) Moench) </w:t>
            </w:r>
          </w:p>
        </w:tc>
        <w:tc>
          <w:tcPr>
            <w:tcW w:w="1276" w:type="dxa"/>
            <w:tcBorders/>
            <w:vAlign w:val="center"/>
          </w:tcPr>
          <w:p>
            <w:pPr>
              <w:pStyle w:val="TableContents"/>
              <w:bidi w:val="0"/>
              <w:spacing w:before="0" w:after="283"/>
              <w:jc w:val="start"/>
              <w:rPr/>
            </w:pPr>
            <w:r>
              <w:rPr/>
              <w:t xml:space="preserve">Reflectron </w:t>
            </w:r>
          </w:p>
        </w:tc>
        <w:tc>
          <w:tcPr>
            <w:tcW w:w="1006" w:type="dxa"/>
            <w:tcBorders/>
            <w:vAlign w:val="center"/>
          </w:tcPr>
          <w:p>
            <w:pPr>
              <w:pStyle w:val="TableContents"/>
              <w:bidi w:val="0"/>
              <w:spacing w:before="0" w:after="283"/>
              <w:jc w:val="start"/>
              <w:rPr/>
            </w:pPr>
            <w:r>
              <w:rPr/>
              <w:t xml:space="preserve">[M+Cs] </w:t>
            </w:r>
            <w:r>
              <w:rPr>
                <w:position w:val="8"/>
                <w:sz w:val="19"/>
              </w:rPr>
              <w:t xml:space="preserve">+ </w:t>
            </w:r>
          </w:p>
        </w:tc>
        <w:tc>
          <w:tcPr>
            <w:tcW w:w="691" w:type="dxa"/>
            <w:tcBorders/>
            <w:vAlign w:val="center"/>
          </w:tcPr>
          <w:p>
            <w:pPr>
              <w:pStyle w:val="TableContents"/>
              <w:bidi w:val="0"/>
              <w:spacing w:before="0" w:after="283"/>
              <w:jc w:val="start"/>
              <w:rPr/>
            </w:pPr>
            <w:r>
              <w:rPr/>
              <w:t xml:space="preserve">1285-2759 </w:t>
            </w:r>
          </w:p>
        </w:tc>
        <w:tc>
          <w:tcPr>
            <w:tcW w:w="1711" w:type="dxa"/>
            <w:tcBorders/>
            <w:vAlign w:val="center"/>
          </w:tcPr>
          <w:p>
            <w:pPr>
              <w:pStyle w:val="TableContents"/>
              <w:bidi w:val="0"/>
              <w:spacing w:before="0" w:after="283"/>
              <w:jc w:val="start"/>
              <w:rPr/>
            </w:pPr>
            <w:r>
              <w:rPr/>
              <w:t xml:space="preserve">A- and B-type procynanidins and prodelphinidins </w:t>
            </w:r>
          </w:p>
        </w:tc>
        <w:tc>
          <w:tcPr>
            <w:tcW w:w="1666" w:type="dxa"/>
            <w:tcBorders/>
            <w:vAlign w:val="center"/>
          </w:tcPr>
          <w:p>
            <w:pPr>
              <w:pStyle w:val="TableContents"/>
              <w:bidi w:val="0"/>
              <w:spacing w:before="0" w:after="283"/>
              <w:jc w:val="start"/>
              <w:rPr/>
            </w:pPr>
            <w:r>
              <w:rPr/>
              <w:t xml:space="preserve">Krueger et al. (2003) </w:t>
            </w:r>
          </w:p>
        </w:tc>
        <w:tc>
          <w:tcPr>
            <w:tcW w:w="11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Non-food plants </w:t>
            </w:r>
          </w:p>
        </w:tc>
        <w:tc>
          <w:tcPr>
            <w:tcW w:w="1276" w:type="dxa"/>
            <w:tcBorders/>
            <w:vAlign w:val="center"/>
          </w:tcPr>
          <w:p>
            <w:pPr>
              <w:pStyle w:val="TableContents"/>
              <w:bidi w:val="0"/>
              <w:spacing w:before="0" w:after="283"/>
              <w:jc w:val="start"/>
              <w:rPr/>
            </w:pPr>
            <w:r>
              <w:rPr>
                <w:rStyle w:val="Emphasis"/>
              </w:rPr>
              <w:t xml:space="preserve">Lotus corniculatus ( </w:t>
            </w:r>
            <w:r>
              <w:rPr/>
              <w:t xml:space="preserve">var. Fargus) </w:t>
            </w:r>
          </w:p>
        </w:tc>
        <w:tc>
          <w:tcPr>
            <w:tcW w:w="1006" w:type="dxa"/>
            <w:tcBorders/>
            <w:vAlign w:val="center"/>
          </w:tcPr>
          <w:p>
            <w:pPr>
              <w:pStyle w:val="TableContents"/>
              <w:bidi w:val="0"/>
              <w:spacing w:before="0" w:after="283"/>
              <w:jc w:val="start"/>
              <w:rPr/>
            </w:pPr>
            <w:r>
              <w:rPr/>
              <w:t xml:space="preserve">Linear and reflectron </w:t>
            </w:r>
          </w:p>
        </w:tc>
        <w:tc>
          <w:tcPr>
            <w:tcW w:w="691" w:type="dxa"/>
            <w:tcBorders/>
            <w:vAlign w:val="center"/>
          </w:tcPr>
          <w:p>
            <w:pPr>
              <w:pStyle w:val="TableContents"/>
              <w:bidi w:val="0"/>
              <w:spacing w:before="0" w:after="283"/>
              <w:jc w:val="start"/>
              <w:rPr/>
            </w:pPr>
            <w:r>
              <w:rPr/>
              <w:t xml:space="preserve">[M+Na] </w:t>
            </w:r>
            <w:r>
              <w:rPr>
                <w:position w:val="8"/>
                <w:sz w:val="19"/>
              </w:rPr>
              <w:t xml:space="preserve">+ </w:t>
            </w:r>
          </w:p>
        </w:tc>
        <w:tc>
          <w:tcPr>
            <w:tcW w:w="1711" w:type="dxa"/>
            <w:tcBorders/>
            <w:vAlign w:val="center"/>
          </w:tcPr>
          <w:p>
            <w:pPr>
              <w:pStyle w:val="TableContents"/>
              <w:bidi w:val="0"/>
              <w:spacing w:before="0" w:after="283"/>
              <w:jc w:val="start"/>
              <w:rPr/>
            </w:pPr>
            <w:r>
              <w:rPr/>
              <w:t xml:space="preserve">1177-1817 </w:t>
            </w:r>
          </w:p>
        </w:tc>
        <w:tc>
          <w:tcPr>
            <w:tcW w:w="1666" w:type="dxa"/>
            <w:tcBorders/>
            <w:vAlign w:val="center"/>
          </w:tcPr>
          <w:p>
            <w:pPr>
              <w:pStyle w:val="TableContents"/>
              <w:bidi w:val="0"/>
              <w:spacing w:before="0" w:after="283"/>
              <w:jc w:val="start"/>
              <w:rPr/>
            </w:pPr>
            <w:r>
              <w:rPr/>
              <w:t xml:space="preserve">B-type procynanidins and prodelphinidins </w:t>
            </w:r>
          </w:p>
        </w:tc>
        <w:tc>
          <w:tcPr>
            <w:tcW w:w="1111" w:type="dxa"/>
            <w:tcBorders/>
            <w:vAlign w:val="center"/>
          </w:tcPr>
          <w:p>
            <w:pPr>
              <w:pStyle w:val="TableContents"/>
              <w:bidi w:val="0"/>
              <w:spacing w:before="0" w:after="283"/>
              <w:jc w:val="start"/>
              <w:rPr/>
            </w:pPr>
            <w:r>
              <w:rPr/>
              <w:t xml:space="preserve">Hedqvist et al. (2000) </w:t>
            </w:r>
          </w:p>
        </w:tc>
      </w:tr>
      <w:tr>
        <w:trPr/>
        <w:tc>
          <w:tcPr>
            <w:tcW w:w="1186" w:type="dxa"/>
            <w:tcBorders/>
            <w:vAlign w:val="center"/>
          </w:tcPr>
          <w:p>
            <w:pPr>
              <w:pStyle w:val="TableContents"/>
              <w:bidi w:val="0"/>
              <w:spacing w:before="0" w:after="283"/>
              <w:jc w:val="start"/>
              <w:rPr/>
            </w:pPr>
            <w:r>
              <w:rPr/>
              <w:t xml:space="preserve">Bark of </w:t>
            </w:r>
            <w:r>
              <w:rPr>
                <w:rStyle w:val="Emphasis"/>
              </w:rPr>
              <w:t xml:space="preserve">Pinus radiata </w:t>
            </w:r>
          </w:p>
        </w:tc>
        <w:tc>
          <w:tcPr>
            <w:tcW w:w="1276" w:type="dxa"/>
            <w:tcBorders/>
            <w:vAlign w:val="center"/>
          </w:tcPr>
          <w:p>
            <w:pPr>
              <w:pStyle w:val="TableContents"/>
              <w:bidi w:val="0"/>
              <w:spacing w:before="0" w:after="283"/>
              <w:jc w:val="start"/>
              <w:rPr/>
            </w:pPr>
            <w:r>
              <w:rPr/>
              <w:t xml:space="preserve">Reflectron </w:t>
            </w:r>
          </w:p>
        </w:tc>
        <w:tc>
          <w:tcPr>
            <w:tcW w:w="1006" w:type="dxa"/>
            <w:tcBorders/>
            <w:vAlign w:val="center"/>
          </w:tcPr>
          <w:p>
            <w:pPr>
              <w:pStyle w:val="TableContents"/>
              <w:bidi w:val="0"/>
              <w:spacing w:before="0" w:after="283"/>
              <w:jc w:val="start"/>
              <w:rPr/>
            </w:pPr>
            <w:r>
              <w:rPr/>
              <w:t xml:space="preserve">[M+Na] </w:t>
            </w:r>
            <w:r>
              <w:rPr>
                <w:position w:val="8"/>
                <w:sz w:val="19"/>
              </w:rPr>
              <w:t xml:space="preserve">+ </w:t>
            </w:r>
          </w:p>
        </w:tc>
        <w:tc>
          <w:tcPr>
            <w:tcW w:w="691" w:type="dxa"/>
            <w:tcBorders/>
            <w:vAlign w:val="center"/>
          </w:tcPr>
          <w:p>
            <w:pPr>
              <w:pStyle w:val="TableContents"/>
              <w:bidi w:val="0"/>
              <w:spacing w:before="0" w:after="283"/>
              <w:jc w:val="start"/>
              <w:rPr/>
            </w:pPr>
            <w:r>
              <w:rPr/>
              <w:t xml:space="preserve">1020-4067 </w:t>
            </w:r>
          </w:p>
        </w:tc>
        <w:tc>
          <w:tcPr>
            <w:tcW w:w="1711" w:type="dxa"/>
            <w:tcBorders/>
            <w:vAlign w:val="center"/>
          </w:tcPr>
          <w:p>
            <w:pPr>
              <w:pStyle w:val="TableContents"/>
              <w:bidi w:val="0"/>
              <w:spacing w:before="0" w:after="283"/>
              <w:jc w:val="start"/>
              <w:rPr/>
            </w:pPr>
            <w:r>
              <w:rPr/>
              <w:t xml:space="preserve">B-type procynanidins and prodelphinidins (acetylated form) </w:t>
            </w:r>
          </w:p>
        </w:tc>
        <w:tc>
          <w:tcPr>
            <w:tcW w:w="1666" w:type="dxa"/>
            <w:tcBorders/>
            <w:vAlign w:val="center"/>
          </w:tcPr>
          <w:p>
            <w:pPr>
              <w:pStyle w:val="TableContents"/>
              <w:bidi w:val="0"/>
              <w:spacing w:before="0" w:after="283"/>
              <w:jc w:val="start"/>
              <w:rPr/>
            </w:pPr>
            <w:r>
              <w:rPr/>
              <w:t xml:space="preserve">Ku and Mun (2007) </w:t>
            </w:r>
          </w:p>
        </w:tc>
        <w:tc>
          <w:tcPr>
            <w:tcW w:w="11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Heartwood of Quebracho ( </w:t>
            </w:r>
            <w:r>
              <w:rPr>
                <w:rStyle w:val="Emphasis"/>
              </w:rPr>
              <w:t xml:space="preserve">Schinopsis balansae) </w:t>
            </w:r>
          </w:p>
        </w:tc>
        <w:tc>
          <w:tcPr>
            <w:tcW w:w="1276" w:type="dxa"/>
            <w:tcBorders/>
            <w:vAlign w:val="center"/>
          </w:tcPr>
          <w:p>
            <w:pPr>
              <w:pStyle w:val="TableContents"/>
              <w:bidi w:val="0"/>
              <w:spacing w:before="0" w:after="283"/>
              <w:jc w:val="start"/>
              <w:rPr/>
            </w:pPr>
            <w:r>
              <w:rPr/>
              <w:t xml:space="preserve">Reflectron </w:t>
            </w:r>
          </w:p>
        </w:tc>
        <w:tc>
          <w:tcPr>
            <w:tcW w:w="1006" w:type="dxa"/>
            <w:tcBorders/>
            <w:vAlign w:val="center"/>
          </w:tcPr>
          <w:p>
            <w:pPr>
              <w:pStyle w:val="TableContents"/>
              <w:bidi w:val="0"/>
              <w:spacing w:before="0" w:after="283"/>
              <w:jc w:val="start"/>
              <w:rPr/>
            </w:pPr>
            <w:r>
              <w:rPr/>
              <w:t xml:space="preserve">[M+Na] </w:t>
            </w:r>
            <w:r>
              <w:rPr>
                <w:position w:val="8"/>
                <w:sz w:val="19"/>
              </w:rPr>
              <w:t xml:space="preserve">+ </w:t>
            </w:r>
          </w:p>
        </w:tc>
        <w:tc>
          <w:tcPr>
            <w:tcW w:w="691" w:type="dxa"/>
            <w:tcBorders/>
            <w:vAlign w:val="center"/>
          </w:tcPr>
          <w:p>
            <w:pPr>
              <w:pStyle w:val="TableContents"/>
              <w:bidi w:val="0"/>
              <w:spacing w:before="0" w:after="283"/>
              <w:jc w:val="start"/>
              <w:rPr/>
            </w:pPr>
            <w:r>
              <w:rPr/>
              <w:t xml:space="preserve">841-2237 </w:t>
            </w:r>
          </w:p>
        </w:tc>
        <w:tc>
          <w:tcPr>
            <w:tcW w:w="1711" w:type="dxa"/>
            <w:tcBorders/>
            <w:vAlign w:val="center"/>
          </w:tcPr>
          <w:p>
            <w:pPr>
              <w:pStyle w:val="TableContents"/>
              <w:bidi w:val="0"/>
              <w:spacing w:before="0" w:after="283"/>
              <w:jc w:val="start"/>
              <w:rPr/>
            </w:pPr>
            <w:r>
              <w:rPr/>
              <w:t xml:space="preserve">Profisetinidins and prorobinetinidins </w:t>
            </w:r>
          </w:p>
        </w:tc>
        <w:tc>
          <w:tcPr>
            <w:tcW w:w="1666" w:type="dxa"/>
            <w:tcBorders/>
            <w:vAlign w:val="center"/>
          </w:tcPr>
          <w:p>
            <w:pPr>
              <w:pStyle w:val="TableContents"/>
              <w:bidi w:val="0"/>
              <w:spacing w:before="0" w:after="283"/>
              <w:jc w:val="start"/>
              <w:rPr/>
            </w:pPr>
            <w:r>
              <w:rPr/>
              <w:t xml:space="preserve">Vivas et al. (2004) </w:t>
            </w:r>
          </w:p>
        </w:tc>
        <w:tc>
          <w:tcPr>
            <w:tcW w:w="1111" w:type="dxa"/>
            <w:tcBorders/>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FAB-MS </w:t>
      </w:r>
    </w:p>
    <w:p>
      <w:pPr>
        <w:pStyle w:val="TextBody"/>
        <w:bidi w:val="0"/>
        <w:spacing w:before="0" w:after="283"/>
        <w:jc w:val="start"/>
        <w:rPr/>
      </w:pPr>
      <w:r>
        <w:rPr/>
        <w:t xml:space="preserve">The application of FAB-MS in pharmaceuticals sector was baring an importance role in analyzing those nonvolatile compounds in yields abundant ions and detailed fragmentation data (Bartner, et al., 1997). Everninomicin-6 (EV-6) was reported as an oligosaccharide antibiotic by Bartner, et al. (1997). The authors were using previous studies, Everninomicin-D (EV-D), by comparing their fragmentation m/z value in order to well analyze the fragmentation. Besides, the paper also operated by using various types of matrices in order to illustrated more structurally informative fragment ions such as glycerol, thioglycerol, glycerol/thioglycerol, 3-nitro-benzyl alcohol (3NBA), and 3NBA+NaCl. </w:t>
      </w:r>
    </w:p>
    <w:p>
      <w:pPr>
        <w:pStyle w:val="TextBody"/>
        <w:bidi w:val="0"/>
        <w:spacing w:before="0" w:after="283"/>
        <w:jc w:val="start"/>
        <w:rPr/>
      </w:pPr>
      <w:r>
        <w:rPr/>
        <w:t xml:space="preserve">In the studies, the FAB spectra were yields a very weak protonated and a relatively low-abundance sodiated molecular ions at m/z 1335 and 1357 respectively. The authors were emphasize that the matrix, NaCl doped 3NBA was producing the best result among the matrices that they were used. The spectra were able to shown a clearer enhancement of the sodiated molecular ion at m/z 1357 and the authors also able to determine several series of the molecular fragmentation. This make the spectra more essential in define the structurally informative ion constituent. However, negative-ion FAB-MS had been investigated by the authors for the structural analysis perform by using DMSO-3NBA matrix and produced abundant molecular ion at m/z 1333 and a series of cleavage of ions peak. </w:t>
      </w:r>
    </w:p>
    <w:p>
      <w:pPr>
        <w:pStyle w:val="TextBody"/>
        <w:bidi w:val="0"/>
        <w:spacing w:before="0" w:after="283"/>
        <w:jc w:val="start"/>
        <w:rPr/>
      </w:pPr>
      <w:r>
        <w:rPr/>
        <w:t xml:space="preserve">Table 2: The relatively abundance molecular ions peak of the Everninomicin-6 (EV-6) in DMSO solvent </w:t>
      </w:r>
    </w:p>
    <w:tbl>
      <w:tblPr>
        <w:tblW w:w="8647" w:type="dxa"/>
        <w:jc w:val="start"/>
        <w:tblInd w:w="0" w:type="dxa"/>
        <w:tblLayout w:type="fixed"/>
        <w:tblCellMar>
          <w:top w:w="28" w:type="dxa"/>
          <w:start w:w="28" w:type="dxa"/>
          <w:bottom w:w="28" w:type="dxa"/>
          <w:end w:w="28" w:type="dxa"/>
        </w:tblCellMar>
      </w:tblPr>
      <w:tblGrid>
        <w:gridCol w:w="2920"/>
        <w:gridCol w:w="1107"/>
        <w:gridCol w:w="1416"/>
        <w:gridCol w:w="3204"/>
      </w:tblGrid>
      <w:tr>
        <w:trPr/>
        <w:tc>
          <w:tcPr>
            <w:tcW w:w="2920" w:type="dxa"/>
            <w:tcBorders/>
            <w:vAlign w:val="center"/>
          </w:tcPr>
          <w:p>
            <w:pPr>
              <w:pStyle w:val="TableContents"/>
              <w:bidi w:val="0"/>
              <w:spacing w:before="0" w:after="283"/>
              <w:jc w:val="start"/>
              <w:rPr/>
            </w:pPr>
            <w:r>
              <w:rPr/>
              <w:t xml:space="preserve">Matrices </w:t>
            </w:r>
          </w:p>
        </w:tc>
        <w:tc>
          <w:tcPr>
            <w:tcW w:w="1107" w:type="dxa"/>
            <w:tcBorders/>
            <w:vAlign w:val="center"/>
          </w:tcPr>
          <w:p>
            <w:pPr>
              <w:pStyle w:val="TableContents"/>
              <w:bidi w:val="0"/>
              <w:spacing w:before="0" w:after="283"/>
              <w:jc w:val="start"/>
              <w:rPr/>
            </w:pPr>
            <w:r>
              <w:rPr/>
              <w:t xml:space="preserve">Mass specie </w:t>
            </w:r>
          </w:p>
        </w:tc>
        <w:tc>
          <w:tcPr>
            <w:tcW w:w="1416" w:type="dxa"/>
            <w:tcBorders/>
            <w:vAlign w:val="center"/>
          </w:tcPr>
          <w:p>
            <w:pPr>
              <w:pStyle w:val="TableContents"/>
              <w:bidi w:val="0"/>
              <w:spacing w:before="0" w:after="283"/>
              <w:jc w:val="start"/>
              <w:rPr/>
            </w:pPr>
            <w:r>
              <w:rPr/>
              <w:t xml:space="preserve">Observed mass </w:t>
            </w:r>
          </w:p>
        </w:tc>
        <w:tc>
          <w:tcPr>
            <w:tcW w:w="3204" w:type="dxa"/>
            <w:tcBorders/>
            <w:vAlign w:val="center"/>
          </w:tcPr>
          <w:p>
            <w:pPr>
              <w:pStyle w:val="TableContents"/>
              <w:bidi w:val="0"/>
              <w:spacing w:before="0" w:after="283"/>
              <w:jc w:val="start"/>
              <w:rPr/>
            </w:pPr>
            <w:r>
              <w:rPr/>
              <w:t xml:space="preserve">Assignation </w:t>
            </w:r>
          </w:p>
        </w:tc>
      </w:tr>
      <w:tr>
        <w:trPr/>
        <w:tc>
          <w:tcPr>
            <w:tcW w:w="2920" w:type="dxa"/>
            <w:tcBorders/>
            <w:vAlign w:val="center"/>
          </w:tcPr>
          <w:p>
            <w:pPr>
              <w:pStyle w:val="TableContents"/>
              <w:bidi w:val="0"/>
              <w:spacing w:before="0" w:after="283"/>
              <w:jc w:val="start"/>
              <w:rPr/>
            </w:pPr>
            <w:r>
              <w:rPr/>
              <w:t xml:space="preserve">50: 50 glycerol/thioglycerol (gly/thio) </w:t>
            </w:r>
          </w:p>
        </w:tc>
        <w:tc>
          <w:tcPr>
            <w:tcW w:w="1107" w:type="dxa"/>
            <w:tcBorders/>
            <w:vAlign w:val="center"/>
          </w:tcPr>
          <w:p>
            <w:pPr>
              <w:pStyle w:val="TableContents"/>
              <w:bidi w:val="0"/>
              <w:spacing w:before="0" w:after="283"/>
              <w:jc w:val="start"/>
              <w:rPr/>
            </w:pPr>
            <w:r>
              <w:rPr/>
              <w:t xml:space="preserve">[M+H] </w:t>
            </w:r>
            <w:r>
              <w:rPr>
                <w:position w:val="8"/>
                <w:sz w:val="19"/>
              </w:rPr>
              <w:t xml:space="preserve">+ </w:t>
            </w:r>
          </w:p>
        </w:tc>
        <w:tc>
          <w:tcPr>
            <w:tcW w:w="1416" w:type="dxa"/>
            <w:tcBorders/>
            <w:vAlign w:val="center"/>
          </w:tcPr>
          <w:p>
            <w:pPr>
              <w:pStyle w:val="TableContents"/>
              <w:bidi w:val="0"/>
              <w:jc w:val="start"/>
              <w:rPr/>
            </w:pPr>
            <w:r>
              <w:rPr/>
              <w:t xml:space="preserve">1335 </w:t>
            </w:r>
          </w:p>
          <w:p>
            <w:pPr>
              <w:pStyle w:val="TableContents"/>
              <w:bidi w:val="0"/>
              <w:spacing w:before="0" w:after="283"/>
              <w:jc w:val="start"/>
              <w:rPr/>
            </w:pPr>
            <w:r>
              <w:rPr/>
              <w:t xml:space="preserve">1357 </w:t>
            </w:r>
          </w:p>
        </w:tc>
        <w:tc>
          <w:tcPr>
            <w:tcW w:w="3204" w:type="dxa"/>
            <w:tcBorders/>
            <w:vAlign w:val="center"/>
          </w:tcPr>
          <w:p>
            <w:pPr>
              <w:pStyle w:val="TableContents"/>
              <w:bidi w:val="0"/>
              <w:jc w:val="start"/>
              <w:rPr/>
            </w:pPr>
            <w:r>
              <w:rPr/>
              <w:t xml:space="preserve">-very weak protonated molecules ion </w:t>
            </w:r>
          </w:p>
          <w:p>
            <w:pPr>
              <w:pStyle w:val="TableContents"/>
              <w:bidi w:val="0"/>
              <w:spacing w:before="0" w:after="283"/>
              <w:jc w:val="start"/>
              <w:rPr/>
            </w:pPr>
            <w:r>
              <w:rPr/>
              <w:t xml:space="preserve">-low-abundance sodiated molecular ion </w:t>
            </w:r>
          </w:p>
        </w:tc>
      </w:tr>
      <w:tr>
        <w:trPr/>
        <w:tc>
          <w:tcPr>
            <w:tcW w:w="2920" w:type="dxa"/>
            <w:tcBorders/>
            <w:vAlign w:val="center"/>
          </w:tcPr>
          <w:p>
            <w:pPr>
              <w:pStyle w:val="TableContents"/>
              <w:bidi w:val="0"/>
              <w:spacing w:before="0" w:after="283"/>
              <w:jc w:val="start"/>
              <w:rPr/>
            </w:pPr>
            <w:r>
              <w:rPr/>
              <w:t xml:space="preserve">3NBA + NaCl </w:t>
            </w:r>
          </w:p>
        </w:tc>
        <w:tc>
          <w:tcPr>
            <w:tcW w:w="1107" w:type="dxa"/>
            <w:tcBorders/>
            <w:vAlign w:val="center"/>
          </w:tcPr>
          <w:p>
            <w:pPr>
              <w:pStyle w:val="TableContents"/>
              <w:bidi w:val="0"/>
              <w:spacing w:before="0" w:after="283"/>
              <w:jc w:val="start"/>
              <w:rPr/>
            </w:pPr>
            <w:r>
              <w:rPr/>
              <w:t xml:space="preserve">[M+Na] </w:t>
            </w:r>
            <w:r>
              <w:rPr>
                <w:position w:val="8"/>
                <w:sz w:val="19"/>
              </w:rPr>
              <w:t xml:space="preserve">+ </w:t>
            </w:r>
          </w:p>
        </w:tc>
        <w:tc>
          <w:tcPr>
            <w:tcW w:w="1416" w:type="dxa"/>
            <w:tcBorders/>
            <w:vAlign w:val="center"/>
          </w:tcPr>
          <w:p>
            <w:pPr>
              <w:pStyle w:val="TableContents"/>
              <w:bidi w:val="0"/>
              <w:spacing w:before="0" w:after="283"/>
              <w:jc w:val="start"/>
              <w:rPr/>
            </w:pPr>
            <w:r>
              <w:rPr/>
              <w:t xml:space="preserve">1357 </w:t>
            </w:r>
          </w:p>
        </w:tc>
        <w:tc>
          <w:tcPr>
            <w:tcW w:w="3204" w:type="dxa"/>
            <w:tcBorders/>
            <w:vAlign w:val="center"/>
          </w:tcPr>
          <w:p>
            <w:pPr>
              <w:pStyle w:val="TableContents"/>
              <w:bidi w:val="0"/>
              <w:spacing w:before="0" w:after="283"/>
              <w:jc w:val="start"/>
              <w:rPr/>
            </w:pPr>
            <w:r>
              <w:rPr/>
              <w:t xml:space="preserve">-abundant sodiated molecular ion </w:t>
            </w:r>
          </w:p>
        </w:tc>
      </w:tr>
      <w:tr>
        <w:trPr/>
        <w:tc>
          <w:tcPr>
            <w:tcW w:w="2920" w:type="dxa"/>
            <w:tcBorders/>
            <w:vAlign w:val="center"/>
          </w:tcPr>
          <w:p>
            <w:pPr>
              <w:pStyle w:val="TableContents"/>
              <w:bidi w:val="0"/>
              <w:spacing w:before="0" w:after="283"/>
              <w:jc w:val="start"/>
              <w:rPr/>
            </w:pPr>
            <w:r>
              <w:rPr/>
              <w:t xml:space="preserve">3NBA </w:t>
            </w:r>
          </w:p>
        </w:tc>
        <w:tc>
          <w:tcPr>
            <w:tcW w:w="1107" w:type="dxa"/>
            <w:tcBorders/>
            <w:vAlign w:val="center"/>
          </w:tcPr>
          <w:p>
            <w:pPr>
              <w:pStyle w:val="TableContents"/>
              <w:bidi w:val="0"/>
              <w:spacing w:before="0" w:after="283"/>
              <w:jc w:val="start"/>
              <w:rPr/>
            </w:pPr>
            <w:r>
              <w:rPr/>
              <w:t xml:space="preserve">[M-H] </w:t>
            </w:r>
            <w:r>
              <w:rPr>
                <w:position w:val="8"/>
                <w:sz w:val="19"/>
              </w:rPr>
              <w:t xml:space="preserve">– </w:t>
            </w:r>
          </w:p>
        </w:tc>
        <w:tc>
          <w:tcPr>
            <w:tcW w:w="1416" w:type="dxa"/>
            <w:tcBorders/>
            <w:vAlign w:val="center"/>
          </w:tcPr>
          <w:p>
            <w:pPr>
              <w:pStyle w:val="TableContents"/>
              <w:bidi w:val="0"/>
              <w:spacing w:before="0" w:after="283"/>
              <w:jc w:val="start"/>
              <w:rPr/>
            </w:pPr>
            <w:r>
              <w:rPr/>
              <w:t xml:space="preserve">1333 </w:t>
            </w:r>
          </w:p>
        </w:tc>
        <w:tc>
          <w:tcPr>
            <w:tcW w:w="3204" w:type="dxa"/>
            <w:tcBorders/>
            <w:vAlign w:val="center"/>
          </w:tcPr>
          <w:p>
            <w:pPr>
              <w:pStyle w:val="TableContents"/>
              <w:bidi w:val="0"/>
              <w:spacing w:before="0" w:after="283"/>
              <w:jc w:val="start"/>
              <w:rPr/>
            </w:pPr>
            <w:r>
              <w:rPr/>
              <w:t xml:space="preserve">-abundant molecular fragment ion </w:t>
            </w:r>
          </w:p>
        </w:tc>
      </w:tr>
    </w:tbl>
    <w:p>
      <w:pPr>
        <w:pStyle w:val="TextBody"/>
        <w:bidi w:val="0"/>
        <w:jc w:val="start"/>
        <w:rPr>
          <w:u w:val="single"/>
        </w:rPr>
      </w:pPr>
      <w:r>
        <w:rPr>
          <w:u w:val="single"/>
        </w:rPr>
        <w:t xml:space="preserve">SIMS </w:t>
      </w:r>
    </w:p>
    <w:p>
      <w:pPr>
        <w:pStyle w:val="TextBody"/>
        <w:bidi w:val="0"/>
        <w:spacing w:before="0" w:after="283"/>
        <w:jc w:val="start"/>
        <w:rPr/>
      </w:pPr>
      <w:r>
        <w:rPr/>
        <w:t xml:space="preserve">Applications of SIMS in pharmaceutical sector are used to detect the surface morphologies of the analyte. In order further improve the detection limit, Chen, et al. (2011) research was using C </w:t>
      </w:r>
      <w:r>
        <w:rPr>
          <w:position w:val="-2"/>
          <w:sz w:val="19"/>
        </w:rPr>
        <w:t xml:space="preserve">60 </w:t>
      </w:r>
      <w:r>
        <w:rPr/>
        <w:t xml:space="preserve">cluster ion sources. The studies were done by the event-by-event bombardment/detection mode and providing benefits which allowed the detector very narrow length (~10nm) molecules. Chen, et al. (2011) were reported that this mode was increased the sensitivity of the detection toward the closer distances between nanoparticle probe and amino acid sites of an antibody. </w:t>
      </w:r>
    </w:p>
    <w:p>
      <w:pPr>
        <w:pStyle w:val="TextBody"/>
        <w:bidi w:val="0"/>
        <w:spacing w:before="0" w:after="283"/>
        <w:jc w:val="start"/>
        <w:rPr/>
      </w:pPr>
      <w:r>
        <w:rPr/>
        <w:t xml:space="preserve">It was reported that the gold nanoparticles (AuNPs) was modified in which the antiCD4 cooperate to the AuNPs and immobilized on the cell for analyze. It was reported that the negative ions that cleavage by the molecules in the range of m/z 30 to 120 were indicating the present of the antibodies on the cell. Besides, m/z 197 and m/z 223 corresponding to Au </w:t>
      </w:r>
      <w:r>
        <w:rPr>
          <w:position w:val="8"/>
          <w:sz w:val="19"/>
        </w:rPr>
        <w:t xml:space="preserve">– </w:t>
      </w:r>
      <w:r>
        <w:rPr/>
        <w:t xml:space="preserve">and AuCN </w:t>
      </w:r>
      <w:r>
        <w:rPr>
          <w:position w:val="8"/>
          <w:sz w:val="19"/>
        </w:rPr>
        <w:t xml:space="preserve">– </w:t>
      </w:r>
      <w:r>
        <w:rPr/>
        <w:t xml:space="preserve">respectively, were shown the importance of the peak which indicating the immobilization was successful. On the other hand, the ions source of C </w:t>
      </w:r>
      <w:r>
        <w:rPr>
          <w:position w:val="-2"/>
          <w:sz w:val="19"/>
        </w:rPr>
        <w:t xml:space="preserve">60 </w:t>
      </w:r>
      <w:r>
        <w:rPr/>
        <w:t xml:space="preserve">caused the impact on the lipid membrane region where the fragmentation palmitate (C </w:t>
      </w:r>
      <w:r>
        <w:rPr>
          <w:position w:val="-2"/>
          <w:sz w:val="19"/>
        </w:rPr>
        <w:t xml:space="preserve">16 </w:t>
      </w:r>
      <w:r>
        <w:rPr/>
        <w:t xml:space="preserve">H </w:t>
      </w:r>
      <w:r>
        <w:rPr>
          <w:position w:val="-2"/>
          <w:sz w:val="19"/>
        </w:rPr>
        <w:t xml:space="preserve">31 </w:t>
      </w:r>
      <w:r>
        <w:rPr/>
        <w:t xml:space="preserve">O </w:t>
      </w:r>
      <w:r>
        <w:rPr>
          <w:position w:val="-2"/>
          <w:sz w:val="19"/>
        </w:rPr>
        <w:t xml:space="preserve">2 </w:t>
      </w:r>
      <w:r>
        <w:rPr>
          <w:position w:val="8"/>
          <w:sz w:val="19"/>
        </w:rPr>
        <w:t xml:space="preserve">– </w:t>
      </w:r>
      <w:r>
        <w:rPr/>
        <w:t xml:space="preserve">) and oletate (C </w:t>
      </w:r>
      <w:r>
        <w:rPr>
          <w:position w:val="-2"/>
          <w:sz w:val="19"/>
        </w:rPr>
        <w:t xml:space="preserve">18 </w:t>
      </w:r>
      <w:r>
        <w:rPr/>
        <w:t xml:space="preserve">H </w:t>
      </w:r>
      <w:r>
        <w:rPr>
          <w:position w:val="-2"/>
          <w:sz w:val="19"/>
        </w:rPr>
        <w:t xml:space="preserve">33 </w:t>
      </w:r>
      <w:r>
        <w:rPr/>
        <w:t xml:space="preserve">O </w:t>
      </w:r>
      <w:r>
        <w:rPr>
          <w:position w:val="-2"/>
          <w:sz w:val="19"/>
        </w:rPr>
        <w:t xml:space="preserve">2 </w:t>
      </w:r>
      <w:r>
        <w:rPr>
          <w:position w:val="8"/>
          <w:sz w:val="19"/>
        </w:rPr>
        <w:t xml:space="preserve">– </w:t>
      </w:r>
      <w:r>
        <w:rPr/>
        <w:t xml:space="preserve">) at m/z 255 and 283 respectively had occurred. </w:t>
      </w:r>
    </w:p>
    <w:p>
      <w:pPr>
        <w:pStyle w:val="TextBody"/>
        <w:bidi w:val="0"/>
        <w:spacing w:before="0" w:after="283"/>
        <w:jc w:val="start"/>
        <w:rPr/>
      </w:pPr>
      <w:r>
        <w:rPr/>
        <w:t xml:space="preserve">Table 3: The co-emitted secondary ions and observed mass of AuNPs-antiCD4 labeled cell surface analyzed with C </w:t>
      </w:r>
      <w:r>
        <w:rPr>
          <w:position w:val="-2"/>
          <w:sz w:val="19"/>
        </w:rPr>
        <w:t xml:space="preserve">60 </w:t>
      </w:r>
      <w:r>
        <w:rPr/>
        <w:t xml:space="preserve">ToF-SIMS </w:t>
      </w:r>
    </w:p>
    <w:tbl>
      <w:tblPr>
        <w:tblW w:w="7173" w:type="dxa"/>
        <w:jc w:val="start"/>
        <w:tblInd w:w="0" w:type="dxa"/>
        <w:tblLayout w:type="fixed"/>
        <w:tblCellMar>
          <w:top w:w="28" w:type="dxa"/>
          <w:start w:w="28" w:type="dxa"/>
          <w:bottom w:w="28" w:type="dxa"/>
          <w:end w:w="28" w:type="dxa"/>
        </w:tblCellMar>
      </w:tblPr>
      <w:tblGrid>
        <w:gridCol w:w="2836"/>
        <w:gridCol w:w="2686"/>
        <w:gridCol w:w="1651"/>
      </w:tblGrid>
      <w:tr>
        <w:trPr/>
        <w:tc>
          <w:tcPr>
            <w:tcW w:w="2836" w:type="dxa"/>
            <w:tcBorders/>
            <w:vAlign w:val="center"/>
          </w:tcPr>
          <w:p>
            <w:pPr>
              <w:pStyle w:val="TableContents"/>
              <w:bidi w:val="0"/>
              <w:spacing w:before="0" w:after="283"/>
              <w:jc w:val="start"/>
              <w:rPr/>
            </w:pPr>
            <w:r>
              <w:rPr/>
              <w:t xml:space="preserve">Detected species </w:t>
            </w:r>
          </w:p>
        </w:tc>
        <w:tc>
          <w:tcPr>
            <w:tcW w:w="2686" w:type="dxa"/>
            <w:tcBorders/>
            <w:vAlign w:val="center"/>
          </w:tcPr>
          <w:p>
            <w:pPr>
              <w:pStyle w:val="TableContents"/>
              <w:bidi w:val="0"/>
              <w:spacing w:before="0" w:after="283"/>
              <w:jc w:val="start"/>
              <w:rPr/>
            </w:pPr>
            <w:r>
              <w:rPr/>
              <w:t xml:space="preserve">Co-emitted secondary ions </w:t>
            </w:r>
          </w:p>
        </w:tc>
        <w:tc>
          <w:tcPr>
            <w:tcW w:w="1651" w:type="dxa"/>
            <w:tcBorders/>
            <w:vAlign w:val="center"/>
          </w:tcPr>
          <w:p>
            <w:pPr>
              <w:pStyle w:val="TableContents"/>
              <w:bidi w:val="0"/>
              <w:spacing w:before="0" w:after="283"/>
              <w:jc w:val="start"/>
              <w:rPr/>
            </w:pPr>
            <w:r>
              <w:rPr/>
              <w:t xml:space="preserve">Observed mass </w:t>
            </w:r>
          </w:p>
        </w:tc>
      </w:tr>
      <w:tr>
        <w:trPr/>
        <w:tc>
          <w:tcPr>
            <w:tcW w:w="2836" w:type="dxa"/>
            <w:tcBorders/>
            <w:vAlign w:val="center"/>
          </w:tcPr>
          <w:p>
            <w:pPr>
              <w:pStyle w:val="TableContents"/>
              <w:bidi w:val="0"/>
              <w:spacing w:before="0" w:after="283"/>
              <w:jc w:val="start"/>
              <w:rPr/>
            </w:pPr>
            <w:r>
              <w:rPr/>
              <w:t xml:space="preserve">AuNPs-antiCD4 conjugates </w:t>
            </w:r>
          </w:p>
        </w:tc>
        <w:tc>
          <w:tcPr>
            <w:tcW w:w="2686" w:type="dxa"/>
            <w:tcBorders/>
            <w:vAlign w:val="center"/>
          </w:tcPr>
          <w:p>
            <w:pPr>
              <w:pStyle w:val="TableContents"/>
              <w:bidi w:val="0"/>
              <w:jc w:val="start"/>
              <w:rPr/>
            </w:pPr>
            <w:r>
              <w:rPr/>
              <w:t xml:space="preserve">Au </w:t>
            </w:r>
            <w:r>
              <w:rPr>
                <w:position w:val="8"/>
                <w:sz w:val="19"/>
              </w:rPr>
              <w:t xml:space="preserve">– </w:t>
            </w:r>
          </w:p>
          <w:p>
            <w:pPr>
              <w:pStyle w:val="TableContents"/>
              <w:bidi w:val="0"/>
              <w:spacing w:before="0" w:after="283"/>
              <w:jc w:val="start"/>
              <w:rPr/>
            </w:pPr>
            <w:r>
              <w:rPr/>
              <w:t xml:space="preserve">AuCN </w:t>
            </w:r>
            <w:r>
              <w:rPr>
                <w:position w:val="8"/>
                <w:sz w:val="19"/>
              </w:rPr>
              <w:t xml:space="preserve">– </w:t>
            </w:r>
          </w:p>
        </w:tc>
        <w:tc>
          <w:tcPr>
            <w:tcW w:w="1651" w:type="dxa"/>
            <w:tcBorders/>
            <w:vAlign w:val="center"/>
          </w:tcPr>
          <w:p>
            <w:pPr>
              <w:pStyle w:val="TableContents"/>
              <w:bidi w:val="0"/>
              <w:jc w:val="start"/>
              <w:rPr/>
            </w:pPr>
            <w:r>
              <w:rPr/>
              <w:t xml:space="preserve">197 </w:t>
            </w:r>
          </w:p>
          <w:p>
            <w:pPr>
              <w:pStyle w:val="TableContents"/>
              <w:bidi w:val="0"/>
              <w:spacing w:before="0" w:after="283"/>
              <w:jc w:val="start"/>
              <w:rPr/>
            </w:pPr>
            <w:r>
              <w:rPr/>
              <w:t xml:space="preserve">223 </w:t>
            </w:r>
          </w:p>
        </w:tc>
      </w:tr>
      <w:tr>
        <w:trPr/>
        <w:tc>
          <w:tcPr>
            <w:tcW w:w="2836" w:type="dxa"/>
            <w:tcBorders/>
            <w:vAlign w:val="center"/>
          </w:tcPr>
          <w:p>
            <w:pPr>
              <w:pStyle w:val="TableContents"/>
              <w:bidi w:val="0"/>
              <w:spacing w:before="0" w:after="283"/>
              <w:jc w:val="start"/>
              <w:rPr/>
            </w:pPr>
            <w:r>
              <w:rPr/>
              <w:t xml:space="preserve">Cell lipid membrane </w:t>
            </w:r>
          </w:p>
        </w:tc>
        <w:tc>
          <w:tcPr>
            <w:tcW w:w="2686" w:type="dxa"/>
            <w:tcBorders/>
            <w:vAlign w:val="center"/>
          </w:tcPr>
          <w:p>
            <w:pPr>
              <w:pStyle w:val="TableContents"/>
              <w:bidi w:val="0"/>
              <w:jc w:val="start"/>
              <w:rPr/>
            </w:pPr>
            <w:r>
              <w:rPr/>
              <w:t xml:space="preserve">C </w:t>
            </w:r>
            <w:r>
              <w:rPr>
                <w:position w:val="-2"/>
                <w:sz w:val="19"/>
              </w:rPr>
              <w:t xml:space="preserve">16 </w:t>
            </w:r>
            <w:r>
              <w:rPr/>
              <w:t xml:space="preserve">H </w:t>
            </w:r>
            <w:r>
              <w:rPr>
                <w:position w:val="-2"/>
                <w:sz w:val="19"/>
              </w:rPr>
              <w:t xml:space="preserve">31 </w:t>
            </w:r>
            <w:r>
              <w:rPr/>
              <w:t xml:space="preserve">O </w:t>
            </w:r>
            <w:r>
              <w:rPr>
                <w:position w:val="-2"/>
                <w:sz w:val="19"/>
              </w:rPr>
              <w:t xml:space="preserve">2 </w:t>
            </w:r>
            <w:r>
              <w:rPr>
                <w:position w:val="8"/>
                <w:sz w:val="19"/>
              </w:rPr>
              <w:t xml:space="preserve">– </w:t>
            </w:r>
          </w:p>
          <w:p>
            <w:pPr>
              <w:pStyle w:val="TableContents"/>
              <w:bidi w:val="0"/>
              <w:spacing w:before="0" w:after="283"/>
              <w:jc w:val="start"/>
              <w:rPr/>
            </w:pPr>
            <w:r>
              <w:rPr/>
              <w:t xml:space="preserve">C </w:t>
            </w:r>
            <w:r>
              <w:rPr>
                <w:position w:val="-2"/>
                <w:sz w:val="19"/>
              </w:rPr>
              <w:t xml:space="preserve">18 </w:t>
            </w:r>
            <w:r>
              <w:rPr/>
              <w:t xml:space="preserve">H </w:t>
            </w:r>
            <w:r>
              <w:rPr>
                <w:position w:val="-2"/>
                <w:sz w:val="19"/>
              </w:rPr>
              <w:t xml:space="preserve">33 </w:t>
            </w:r>
            <w:r>
              <w:rPr/>
              <w:t xml:space="preserve">O </w:t>
            </w:r>
            <w:r>
              <w:rPr>
                <w:position w:val="-2"/>
                <w:sz w:val="19"/>
              </w:rPr>
              <w:t xml:space="preserve">2 </w:t>
            </w:r>
            <w:r>
              <w:rPr>
                <w:position w:val="8"/>
                <w:sz w:val="19"/>
              </w:rPr>
              <w:t xml:space="preserve">– </w:t>
            </w:r>
          </w:p>
        </w:tc>
        <w:tc>
          <w:tcPr>
            <w:tcW w:w="1651" w:type="dxa"/>
            <w:tcBorders/>
            <w:vAlign w:val="center"/>
          </w:tcPr>
          <w:p>
            <w:pPr>
              <w:pStyle w:val="TableContents"/>
              <w:bidi w:val="0"/>
              <w:jc w:val="start"/>
              <w:rPr/>
            </w:pPr>
            <w:r>
              <w:rPr/>
              <w:t xml:space="preserve">255 </w:t>
            </w:r>
          </w:p>
          <w:p>
            <w:pPr>
              <w:pStyle w:val="TableContents"/>
              <w:bidi w:val="0"/>
              <w:spacing w:before="0" w:after="283"/>
              <w:jc w:val="start"/>
              <w:rPr/>
            </w:pPr>
            <w:r>
              <w:rPr/>
              <w:t xml:space="preserve">283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https://assignbuster.com/desorption-ionization-methods-essay/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Desorption ionization methods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orption-ionization-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Desorption ionization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Desorption ionization methods essay</dc:title>
  <dc:subject>Others;</dc:subject>
  <dc:creator>AssignBuster</dc:creator>
  <cp:keywords/>
  <dc:description>However, in the application of non-food plants, unlike application in food plants, Hedqvist, et al.was reported the Lotus corniculatus have presented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