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Anti-t. gondii igg antibody measurement</w:t>
        </w:r>
      </w:hyperlink>
      <w:bookmarkEnd w:id="0"/>
    </w:p>
    <w:p>
      <w:r>
        <w:br w:type="page"/>
      </w:r>
    </w:p>
    <w:p>
      <w:pPr>
        <w:pStyle w:val="Heading3"/>
        <w:bidi w:val="0"/>
        <w:spacing w:before="140" w:after="120"/>
        <w:jc w:val="start"/>
        <w:rPr/>
      </w:pPr>
      <w:r>
        <w:rPr/>
        <w:t xml:space="preserve">VIDAS Method for the Measurement Anti-T. gondii IgG antibody </w:t>
      </w:r>
    </w:p>
    <w:p>
      <w:pPr>
        <w:pStyle w:val="Heading4"/>
        <w:bidi w:val="0"/>
        <w:jc w:val="start"/>
        <w:rPr/>
      </w:pPr>
      <w:r>
        <w:rPr/>
        <w:t xml:space="preserve">Principle: </w:t>
      </w:r>
    </w:p>
    <w:p>
      <w:pPr>
        <w:pStyle w:val="TextBody"/>
        <w:bidi w:val="0"/>
        <w:spacing w:before="0" w:after="283"/>
        <w:jc w:val="start"/>
        <w:rPr/>
      </w:pPr>
      <w:r>
        <w:rPr/>
        <w:t xml:space="preserve">The assay principle a two-step enzyme immune assay sandwich methods with a final fluorescent detection (ELFA). The solid phase Receptacle (SPR) has been used as the solid phase also as pipetting device for the assay. Reagent for the assay have been ready-to-used and pre-dispensed in the sealed reagent strips. The assay steps have been performed automatically by the instrument. The reaction medium is cycled in and out of the SPR several times. After a sample dilution step, the sample is cycled in and out the SPR. Anti-T. gondii IgG antibodies present in the spacemen will bind to the T. gondii antigen coating the anterior of the SPR. Unbound component are eliminated during the washing steps. Mouse monoclonal anti-human IgG conjugate with alkaline phosphatase is cycled through the SPR and will attach to any human IgG bound the SPR wall. During the final detection step, the substrate (4-Methyl-umbelliferyl phosphate) is cycled and out of the SPR. The conjugate enzyme catalyse the (4- Methyl-umbellefrone) the fluorescent of which is measured at 450 nm. The intensity of the fluorescence of which is proportional to the concentration of antibodies present in the sample. At the end of the assay, result are automatically calculated by the instrument in relation to the calibration curve stored in memory, and then printed out[237] . </w:t>
      </w:r>
    </w:p>
    <w:p>
      <w:pPr>
        <w:pStyle w:val="TextBody"/>
        <w:bidi w:val="0"/>
        <w:spacing w:before="0" w:after="283"/>
        <w:jc w:val="start"/>
        <w:rPr/>
      </w:pPr>
      <w:r>
        <w:rPr/>
        <w:t xml:space="preserve">Content of the kit (60 tests): 3. 4. 1. 2 </w:t>
      </w:r>
    </w:p>
    <w:tbl>
      <w:tblPr>
        <w:tblW w:w="5842" w:type="dxa"/>
        <w:jc w:val="start"/>
        <w:tblInd w:w="0" w:type="dxa"/>
        <w:tblLayout w:type="fixed"/>
        <w:tblCellMar>
          <w:top w:w="28" w:type="dxa"/>
          <w:start w:w="28" w:type="dxa"/>
          <w:bottom w:w="28" w:type="dxa"/>
          <w:end w:w="28" w:type="dxa"/>
        </w:tblCellMar>
      </w:tblPr>
      <w:tblGrid>
        <w:gridCol w:w="3711"/>
        <w:gridCol w:w="988"/>
        <w:gridCol w:w="1143"/>
      </w:tblGrid>
      <w:tr>
        <w:trPr/>
        <w:tc>
          <w:tcPr>
            <w:tcW w:w="3711" w:type="dxa"/>
            <w:tcBorders/>
            <w:vAlign w:val="center"/>
          </w:tcPr>
          <w:p>
            <w:pPr>
              <w:pStyle w:val="TableContents"/>
              <w:bidi w:val="0"/>
              <w:spacing w:before="0" w:after="283"/>
              <w:jc w:val="start"/>
              <w:rPr/>
            </w:pPr>
            <w:r>
              <w:rPr/>
              <w:t xml:space="preserve">Ready-to-use </w:t>
            </w:r>
          </w:p>
        </w:tc>
        <w:tc>
          <w:tcPr>
            <w:tcW w:w="988" w:type="dxa"/>
            <w:tcBorders/>
            <w:vAlign w:val="center"/>
          </w:tcPr>
          <w:p>
            <w:pPr>
              <w:pStyle w:val="TableContents"/>
              <w:bidi w:val="0"/>
              <w:spacing w:before="0" w:after="283"/>
              <w:jc w:val="start"/>
              <w:rPr/>
            </w:pPr>
            <w:r>
              <w:rPr/>
              <w:t xml:space="preserve">STR </w:t>
            </w:r>
          </w:p>
        </w:tc>
        <w:tc>
          <w:tcPr>
            <w:tcW w:w="1143" w:type="dxa"/>
            <w:tcBorders/>
            <w:vAlign w:val="center"/>
          </w:tcPr>
          <w:p>
            <w:pPr>
              <w:pStyle w:val="TableContents"/>
              <w:bidi w:val="0"/>
              <w:spacing w:before="0" w:after="283"/>
              <w:jc w:val="start"/>
              <w:rPr/>
            </w:pPr>
            <w:r>
              <w:rPr/>
              <w:t xml:space="preserve">60 TXG strips </w:t>
            </w:r>
          </w:p>
        </w:tc>
      </w:tr>
      <w:tr>
        <w:trPr/>
        <w:tc>
          <w:tcPr>
            <w:tcW w:w="3711" w:type="dxa"/>
            <w:tcBorders/>
            <w:vAlign w:val="center"/>
          </w:tcPr>
          <w:p>
            <w:pPr>
              <w:pStyle w:val="TableContents"/>
              <w:bidi w:val="0"/>
              <w:jc w:val="start"/>
              <w:rPr/>
            </w:pPr>
            <w:r>
              <w:rPr/>
              <w:t xml:space="preserve">Ready-to-use. </w:t>
            </w:r>
          </w:p>
          <w:p>
            <w:pPr>
              <w:pStyle w:val="TableContents"/>
              <w:bidi w:val="0"/>
              <w:spacing w:before="0" w:after="283"/>
              <w:jc w:val="start"/>
              <w:rPr/>
            </w:pPr>
            <w:r>
              <w:rPr/>
              <w:t xml:space="preserve">SPRs coated with membrane and cytoplasmic toxoplasma antigen, RH Sabin strain grown in mice (12). </w:t>
            </w:r>
          </w:p>
        </w:tc>
        <w:tc>
          <w:tcPr>
            <w:tcW w:w="988" w:type="dxa"/>
            <w:tcBorders/>
            <w:vAlign w:val="center"/>
          </w:tcPr>
          <w:p>
            <w:pPr>
              <w:pStyle w:val="TableContents"/>
              <w:bidi w:val="0"/>
              <w:spacing w:before="0" w:after="283"/>
              <w:jc w:val="start"/>
              <w:rPr/>
            </w:pPr>
            <w:r>
              <w:rPr/>
              <w:t xml:space="preserve">SPR </w:t>
            </w:r>
          </w:p>
        </w:tc>
        <w:tc>
          <w:tcPr>
            <w:tcW w:w="1143" w:type="dxa"/>
            <w:tcBorders/>
            <w:vAlign w:val="center"/>
          </w:tcPr>
          <w:p>
            <w:pPr>
              <w:pStyle w:val="TableContents"/>
              <w:bidi w:val="0"/>
              <w:jc w:val="start"/>
              <w:rPr/>
            </w:pPr>
            <w:r>
              <w:rPr/>
              <w:t xml:space="preserve">60 TXG SPRs </w:t>
            </w:r>
          </w:p>
          <w:p>
            <w:pPr>
              <w:pStyle w:val="TableContents"/>
              <w:bidi w:val="0"/>
              <w:spacing w:before="0" w:after="283"/>
              <w:jc w:val="start"/>
              <w:rPr/>
            </w:pPr>
            <w:r>
              <w:rPr/>
              <w:t xml:space="preserve">2X30 </w:t>
            </w:r>
          </w:p>
        </w:tc>
      </w:tr>
      <w:tr>
        <w:trPr/>
        <w:tc>
          <w:tcPr>
            <w:tcW w:w="3711" w:type="dxa"/>
            <w:tcBorders/>
            <w:vAlign w:val="center"/>
          </w:tcPr>
          <w:p>
            <w:pPr>
              <w:pStyle w:val="TableContents"/>
              <w:bidi w:val="0"/>
              <w:jc w:val="start"/>
              <w:rPr/>
            </w:pPr>
            <w:r>
              <w:rPr/>
              <w:t xml:space="preserve">Human serum* containing anti-Toxoplasma IgG protein stabilizer + 1 gl sodium azide. </w:t>
            </w:r>
          </w:p>
          <w:p>
            <w:pPr>
              <w:pStyle w:val="TableContents"/>
              <w:bidi w:val="0"/>
              <w:spacing w:before="0" w:after="283"/>
              <w:jc w:val="start"/>
              <w:rPr/>
            </w:pPr>
            <w:r>
              <w:rPr/>
              <w:t xml:space="preserve">Titer in IUml is indicated on MLE card after the following mention: “ control C1 (+) dose value range”. </w:t>
            </w:r>
          </w:p>
        </w:tc>
        <w:tc>
          <w:tcPr>
            <w:tcW w:w="988" w:type="dxa"/>
            <w:tcBorders/>
            <w:vAlign w:val="center"/>
          </w:tcPr>
          <w:p>
            <w:pPr>
              <w:pStyle w:val="TableContents"/>
              <w:bidi w:val="0"/>
              <w:spacing w:before="0" w:after="283"/>
              <w:jc w:val="start"/>
              <w:rPr/>
            </w:pPr>
            <w:r>
              <w:rPr/>
              <w:t xml:space="preserve">C1 </w:t>
            </w:r>
          </w:p>
        </w:tc>
        <w:tc>
          <w:tcPr>
            <w:tcW w:w="1143" w:type="dxa"/>
            <w:tcBorders/>
            <w:vAlign w:val="center"/>
          </w:tcPr>
          <w:p>
            <w:pPr>
              <w:pStyle w:val="TableContents"/>
              <w:bidi w:val="0"/>
              <w:jc w:val="start"/>
              <w:rPr/>
            </w:pPr>
            <w:r>
              <w:rPr/>
              <w:t xml:space="preserve">TXG positive control </w:t>
            </w:r>
          </w:p>
          <w:p>
            <w:pPr>
              <w:pStyle w:val="TableContents"/>
              <w:bidi w:val="0"/>
              <w:spacing w:before="0" w:after="283"/>
              <w:jc w:val="start"/>
              <w:rPr/>
            </w:pPr>
            <w:r>
              <w:rPr/>
              <w:t xml:space="preserve">1X2 ml (liquid) </w:t>
            </w:r>
          </w:p>
        </w:tc>
      </w:tr>
      <w:tr>
        <w:trPr/>
        <w:tc>
          <w:tcPr>
            <w:tcW w:w="3711" w:type="dxa"/>
            <w:tcBorders/>
            <w:vAlign w:val="center"/>
          </w:tcPr>
          <w:p>
            <w:pPr>
              <w:pStyle w:val="TableContents"/>
              <w:bidi w:val="0"/>
              <w:spacing w:before="0" w:after="283"/>
              <w:jc w:val="start"/>
              <w:rPr/>
            </w:pPr>
            <w:r>
              <w:rPr/>
              <w:t xml:space="preserve">Human serum* negative for anti-Toxoplasma IgG protein stabilizer + 1 gl sodium azide. </w:t>
            </w:r>
          </w:p>
        </w:tc>
        <w:tc>
          <w:tcPr>
            <w:tcW w:w="988" w:type="dxa"/>
            <w:tcBorders/>
            <w:vAlign w:val="center"/>
          </w:tcPr>
          <w:p>
            <w:pPr>
              <w:pStyle w:val="TableContents"/>
              <w:bidi w:val="0"/>
              <w:spacing w:before="0" w:after="283"/>
              <w:jc w:val="start"/>
              <w:rPr/>
            </w:pPr>
            <w:r>
              <w:rPr/>
              <w:t xml:space="preserve">C2 </w:t>
            </w:r>
          </w:p>
        </w:tc>
        <w:tc>
          <w:tcPr>
            <w:tcW w:w="1143" w:type="dxa"/>
            <w:tcBorders/>
            <w:vAlign w:val="center"/>
          </w:tcPr>
          <w:p>
            <w:pPr>
              <w:pStyle w:val="TableContents"/>
              <w:bidi w:val="0"/>
              <w:jc w:val="start"/>
              <w:rPr/>
            </w:pPr>
            <w:r>
              <w:rPr/>
              <w:t xml:space="preserve">TXG negative control </w:t>
            </w:r>
          </w:p>
          <w:p>
            <w:pPr>
              <w:pStyle w:val="TableContents"/>
              <w:bidi w:val="0"/>
              <w:spacing w:before="0" w:after="283"/>
              <w:jc w:val="start"/>
              <w:rPr/>
            </w:pPr>
            <w:r>
              <w:rPr/>
              <w:t xml:space="preserve">1X3 ml (liquid) </w:t>
            </w:r>
          </w:p>
        </w:tc>
      </w:tr>
      <w:tr>
        <w:trPr/>
        <w:tc>
          <w:tcPr>
            <w:tcW w:w="3711" w:type="dxa"/>
            <w:tcBorders/>
            <w:vAlign w:val="center"/>
          </w:tcPr>
          <w:p>
            <w:pPr>
              <w:pStyle w:val="TableContents"/>
              <w:bidi w:val="0"/>
              <w:jc w:val="start"/>
              <w:rPr/>
            </w:pPr>
            <w:r>
              <w:rPr/>
              <w:t xml:space="preserve">Human serum* containing anti-Toxoplasma IgG and calibrated against the 2nd WHO </w:t>
            </w:r>
          </w:p>
          <w:p>
            <w:pPr>
              <w:pStyle w:val="TableContents"/>
              <w:bidi w:val="0"/>
              <w:jc w:val="start"/>
              <w:rPr/>
            </w:pPr>
            <w:r>
              <w:rPr/>
              <w:t xml:space="preserve">International standard + protein stabilizer + 1 gl sodium azide. </w:t>
            </w:r>
          </w:p>
          <w:p>
            <w:pPr>
              <w:pStyle w:val="TableContents"/>
              <w:bidi w:val="0"/>
              <w:spacing w:before="0" w:after="283"/>
              <w:jc w:val="start"/>
              <w:rPr/>
            </w:pPr>
            <w:r>
              <w:rPr/>
              <w:t xml:space="preserve">Titer in IUml : the concentration in IUml is indicated on the MLE card after the following mention: “ calibrator (S1) dose value”. The confidence interval in “ relative fluorescence value” is indicated on MLE card after the following mention: ” calibrator (S1) RFV Rang. </w:t>
            </w:r>
          </w:p>
        </w:tc>
        <w:tc>
          <w:tcPr>
            <w:tcW w:w="988" w:type="dxa"/>
            <w:tcBorders/>
            <w:vAlign w:val="center"/>
          </w:tcPr>
          <w:p>
            <w:pPr>
              <w:pStyle w:val="TableContents"/>
              <w:bidi w:val="0"/>
              <w:spacing w:before="0" w:after="283"/>
              <w:jc w:val="start"/>
              <w:rPr/>
            </w:pPr>
            <w:r>
              <w:rPr/>
              <w:t xml:space="preserve">S1 </w:t>
            </w:r>
          </w:p>
        </w:tc>
        <w:tc>
          <w:tcPr>
            <w:tcW w:w="1143" w:type="dxa"/>
            <w:tcBorders/>
            <w:vAlign w:val="center"/>
          </w:tcPr>
          <w:p>
            <w:pPr>
              <w:pStyle w:val="TableContents"/>
              <w:bidi w:val="0"/>
              <w:jc w:val="start"/>
              <w:rPr/>
            </w:pPr>
            <w:r>
              <w:rPr/>
              <w:t xml:space="preserve">TXG calibrator </w:t>
            </w:r>
          </w:p>
          <w:p>
            <w:pPr>
              <w:pStyle w:val="TableContents"/>
              <w:bidi w:val="0"/>
              <w:spacing w:before="0" w:after="283"/>
              <w:jc w:val="start"/>
              <w:rPr/>
            </w:pPr>
            <w:r>
              <w:rPr/>
              <w:t xml:space="preserve">1X1 ml (liquid). </w:t>
            </w:r>
          </w:p>
        </w:tc>
      </w:tr>
      <w:tr>
        <w:trPr/>
        <w:tc>
          <w:tcPr>
            <w:tcW w:w="3711" w:type="dxa"/>
            <w:tcBorders/>
            <w:vAlign w:val="center"/>
          </w:tcPr>
          <w:p>
            <w:pPr>
              <w:pStyle w:val="TableContents"/>
              <w:bidi w:val="0"/>
              <w:spacing w:before="0" w:after="283"/>
              <w:jc w:val="start"/>
              <w:rPr/>
            </w:pPr>
            <w:r>
              <w:rPr/>
              <w:t xml:space="preserve">Specification for the factory master data required two calibrate the test : to read MLE data. </w:t>
            </w:r>
          </w:p>
        </w:tc>
        <w:tc>
          <w:tcPr>
            <w:tcW w:w="988" w:type="dxa"/>
            <w:tcBorders/>
            <w:vAlign w:val="center"/>
          </w:tcPr>
          <w:p>
            <w:pPr>
              <w:pStyle w:val="TableContents"/>
              <w:bidi w:val="0"/>
              <w:spacing w:before="0" w:after="283"/>
              <w:jc w:val="start"/>
              <w:rPr/>
            </w:pPr>
            <w:r>
              <w:rPr/>
              <w:t xml:space="preserve">1 MLE card (master lot entery) </w:t>
            </w:r>
          </w:p>
        </w:tc>
        <w:tc>
          <w:tcPr>
            <w:tcW w:w="1143" w:type="dxa"/>
            <w:tcBorders/>
          </w:tcPr>
          <w:p>
            <w:pPr>
              <w:pStyle w:val="TableContents"/>
              <w:bidi w:val="0"/>
              <w:spacing w:before="0" w:after="283"/>
              <w:jc w:val="start"/>
              <w:rPr>
                <w:sz w:val="4"/>
                <w:szCs w:val="4"/>
              </w:rPr>
            </w:pPr>
            <w:r>
              <w:rPr>
                <w:sz w:val="4"/>
                <w:szCs w:val="4"/>
              </w:rPr>
            </w:r>
          </w:p>
        </w:tc>
      </w:tr>
      <w:tr>
        <w:trPr/>
        <w:tc>
          <w:tcPr>
            <w:tcW w:w="3711" w:type="dxa"/>
            <w:tcBorders/>
            <w:vAlign w:val="center"/>
          </w:tcPr>
          <w:p>
            <w:pPr>
              <w:pStyle w:val="TableContents"/>
              <w:bidi w:val="0"/>
              <w:spacing w:before="0" w:after="283"/>
              <w:jc w:val="start"/>
              <w:rPr/>
            </w:pPr>
            <w:r>
              <w:rPr/>
              <w:t xml:space="preserve">1 package insert </w:t>
            </w:r>
          </w:p>
        </w:tc>
        <w:tc>
          <w:tcPr>
            <w:tcW w:w="2131"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*this product has been tested and shown to be negative for HBs antigen, antibodies to HIV1, HIV2 and HCV. However , signs no existing test method can totally guarantee their absence, this product must be treated as potentially infectious, therefore, usual safety procedures should be observed when handling. </w:t>
      </w:r>
    </w:p>
    <w:p>
      <w:pPr>
        <w:pStyle w:val="Heading3"/>
        <w:bidi w:val="0"/>
        <w:jc w:val="start"/>
        <w:rPr/>
      </w:pPr>
      <w:r>
        <w:rPr/>
        <w:t xml:space="preserve">The solid phase receptacle (SPR) </w:t>
      </w:r>
    </w:p>
    <w:p>
      <w:pPr>
        <w:pStyle w:val="TextBody"/>
        <w:bidi w:val="0"/>
        <w:spacing w:before="0" w:after="283"/>
        <w:jc w:val="start"/>
        <w:rPr/>
      </w:pPr>
      <w:r>
        <w:rPr/>
        <w:t xml:space="preserve">The interior of the SPR is coated during production With membrane and cytoplasmic toxoplasma antigen(RH sabin strain). Each SPR is identified by TXG code. </w:t>
      </w:r>
    </w:p>
    <w:p>
      <w:pPr>
        <w:pStyle w:val="Heading3"/>
        <w:bidi w:val="0"/>
        <w:jc w:val="start"/>
        <w:rPr/>
      </w:pPr>
      <w:r>
        <w:rPr/>
        <w:t xml:space="preserve">The strip </w:t>
      </w:r>
    </w:p>
    <w:p>
      <w:pPr>
        <w:pStyle w:val="TextBody"/>
        <w:bidi w:val="0"/>
        <w:spacing w:before="0" w:after="283"/>
        <w:jc w:val="start"/>
        <w:rPr/>
      </w:pPr>
      <w:r>
        <w:rPr/>
        <w:t xml:space="preserve">The strip consists of 10 wells covered with a labeled, foil seal. The label comprises a bar code which mainly indicates the assay code, Kit lot number and expiration date. The foil of the first well is perforated to facilitate the introduction of sample. The last well of each strip is acuvette in which the flourimetric reading is performed. The wells in the center section of the strip contain the various reagents required for the assay. </w:t>
      </w:r>
    </w:p>
    <w:p>
      <w:pPr>
        <w:pStyle w:val="Heading3"/>
        <w:bidi w:val="0"/>
        <w:jc w:val="start"/>
        <w:rPr/>
      </w:pPr>
      <w:r>
        <w:rPr/>
        <w:t xml:space="preserve">Description of the TXG strip </w:t>
      </w:r>
    </w:p>
    <w:tbl>
      <w:tblPr>
        <w:tblW w:w="5842" w:type="dxa"/>
        <w:jc w:val="start"/>
        <w:tblInd w:w="0" w:type="dxa"/>
        <w:tblLayout w:type="fixed"/>
        <w:tblCellMar>
          <w:top w:w="28" w:type="dxa"/>
          <w:start w:w="28" w:type="dxa"/>
          <w:bottom w:w="28" w:type="dxa"/>
          <w:end w:w="28" w:type="dxa"/>
        </w:tblCellMar>
      </w:tblPr>
      <w:tblGrid>
        <w:gridCol w:w="647"/>
        <w:gridCol w:w="5195"/>
      </w:tblGrid>
      <w:tr>
        <w:trPr/>
        <w:tc>
          <w:tcPr>
            <w:tcW w:w="647" w:type="dxa"/>
            <w:tcBorders/>
            <w:vAlign w:val="center"/>
          </w:tcPr>
          <w:p>
            <w:pPr>
              <w:pStyle w:val="TableContents"/>
              <w:bidi w:val="0"/>
              <w:spacing w:before="0" w:after="283"/>
              <w:jc w:val="start"/>
              <w:rPr/>
            </w:pPr>
            <w:r>
              <w:rPr/>
              <w:t xml:space="preserve">Well </w:t>
            </w:r>
          </w:p>
        </w:tc>
        <w:tc>
          <w:tcPr>
            <w:tcW w:w="5195" w:type="dxa"/>
            <w:tcBorders/>
            <w:vAlign w:val="center"/>
          </w:tcPr>
          <w:p>
            <w:pPr>
              <w:pStyle w:val="TableContents"/>
              <w:bidi w:val="0"/>
              <w:spacing w:before="0" w:after="283"/>
              <w:jc w:val="start"/>
              <w:rPr/>
            </w:pPr>
            <w:r>
              <w:rPr/>
              <w:t xml:space="preserve">Reagents </w:t>
            </w:r>
          </w:p>
        </w:tc>
      </w:tr>
      <w:tr>
        <w:trPr/>
        <w:tc>
          <w:tcPr>
            <w:tcW w:w="647" w:type="dxa"/>
            <w:tcBorders/>
            <w:vAlign w:val="center"/>
          </w:tcPr>
          <w:p>
            <w:pPr>
              <w:pStyle w:val="TableContents"/>
              <w:bidi w:val="0"/>
              <w:spacing w:before="0" w:after="283"/>
              <w:jc w:val="start"/>
              <w:rPr/>
            </w:pPr>
            <w:r>
              <w:rPr/>
              <w:t xml:space="preserve">1 </w:t>
            </w:r>
          </w:p>
        </w:tc>
        <w:tc>
          <w:tcPr>
            <w:tcW w:w="5195" w:type="dxa"/>
            <w:tcBorders/>
            <w:vAlign w:val="center"/>
          </w:tcPr>
          <w:p>
            <w:pPr>
              <w:pStyle w:val="TableContents"/>
              <w:bidi w:val="0"/>
              <w:spacing w:before="0" w:after="283"/>
              <w:jc w:val="start"/>
              <w:rPr/>
            </w:pPr>
            <w:r>
              <w:rPr/>
              <w:t xml:space="preserve">Sampel well. </w:t>
            </w:r>
          </w:p>
        </w:tc>
      </w:tr>
      <w:tr>
        <w:trPr/>
        <w:tc>
          <w:tcPr>
            <w:tcW w:w="647" w:type="dxa"/>
            <w:tcBorders/>
            <w:vAlign w:val="center"/>
          </w:tcPr>
          <w:p>
            <w:pPr>
              <w:pStyle w:val="TableContents"/>
              <w:bidi w:val="0"/>
              <w:spacing w:before="0" w:after="283"/>
              <w:jc w:val="start"/>
              <w:rPr/>
            </w:pPr>
            <w:r>
              <w:rPr/>
              <w:t xml:space="preserve">2 </w:t>
            </w:r>
          </w:p>
        </w:tc>
        <w:tc>
          <w:tcPr>
            <w:tcW w:w="5195" w:type="dxa"/>
            <w:tcBorders/>
            <w:vAlign w:val="center"/>
          </w:tcPr>
          <w:p>
            <w:pPr>
              <w:pStyle w:val="TableContents"/>
              <w:bidi w:val="0"/>
              <w:spacing w:before="0" w:after="283"/>
              <w:jc w:val="start"/>
              <w:rPr/>
            </w:pPr>
            <w:r>
              <w:rPr/>
              <w:t xml:space="preserve">Serum diluents: TRIS buffer (50mmol/l) PH 7. 4+protein and chemical stabilizer+0. 9 g/l sodium azide (600µl). </w:t>
            </w:r>
          </w:p>
        </w:tc>
      </w:tr>
      <w:tr>
        <w:trPr/>
        <w:tc>
          <w:tcPr>
            <w:tcW w:w="647" w:type="dxa"/>
            <w:tcBorders/>
            <w:vAlign w:val="center"/>
          </w:tcPr>
          <w:p>
            <w:pPr>
              <w:pStyle w:val="TableContents"/>
              <w:bidi w:val="0"/>
              <w:spacing w:before="0" w:after="283"/>
              <w:jc w:val="start"/>
              <w:rPr/>
            </w:pPr>
            <w:r>
              <w:rPr/>
              <w:t xml:space="preserve">3 </w:t>
            </w:r>
          </w:p>
        </w:tc>
        <w:tc>
          <w:tcPr>
            <w:tcW w:w="5195" w:type="dxa"/>
            <w:tcBorders/>
            <w:vAlign w:val="center"/>
          </w:tcPr>
          <w:p>
            <w:pPr>
              <w:pStyle w:val="TableContents"/>
              <w:bidi w:val="0"/>
              <w:spacing w:before="0" w:after="283"/>
              <w:jc w:val="start"/>
              <w:rPr/>
            </w:pPr>
            <w:r>
              <w:rPr/>
              <w:t xml:space="preserve">Pre-wash buffer: TRIS buffer (50mmol/l) PH 7. 4+protein and chemical stabilizer+0. 9 g/l sodium azide (600µl). </w:t>
            </w:r>
          </w:p>
        </w:tc>
      </w:tr>
      <w:tr>
        <w:trPr/>
        <w:tc>
          <w:tcPr>
            <w:tcW w:w="647" w:type="dxa"/>
            <w:tcBorders/>
            <w:vAlign w:val="center"/>
          </w:tcPr>
          <w:p>
            <w:pPr>
              <w:pStyle w:val="TableContents"/>
              <w:bidi w:val="0"/>
              <w:spacing w:before="0" w:after="283"/>
              <w:jc w:val="start"/>
              <w:rPr/>
            </w:pPr>
            <w:r>
              <w:rPr/>
              <w:t xml:space="preserve">4-5-7-8 </w:t>
            </w:r>
          </w:p>
        </w:tc>
        <w:tc>
          <w:tcPr>
            <w:tcW w:w="5195" w:type="dxa"/>
            <w:tcBorders/>
            <w:vAlign w:val="center"/>
          </w:tcPr>
          <w:p>
            <w:pPr>
              <w:pStyle w:val="TableContents"/>
              <w:bidi w:val="0"/>
              <w:spacing w:before="0" w:after="283"/>
              <w:jc w:val="start"/>
              <w:rPr/>
            </w:pPr>
            <w:r>
              <w:rPr/>
              <w:t xml:space="preserve">Wash buffer: TRIS buffer (50mmol/l) PH 7. 4+protein and chemical stabilizer+0. 9 g/l sodium azide (600µl). </w:t>
            </w:r>
          </w:p>
        </w:tc>
      </w:tr>
      <w:tr>
        <w:trPr/>
        <w:tc>
          <w:tcPr>
            <w:tcW w:w="647" w:type="dxa"/>
            <w:tcBorders/>
            <w:vAlign w:val="center"/>
          </w:tcPr>
          <w:p>
            <w:pPr>
              <w:pStyle w:val="TableContents"/>
              <w:bidi w:val="0"/>
              <w:spacing w:before="0" w:after="283"/>
              <w:jc w:val="start"/>
              <w:rPr/>
            </w:pPr>
            <w:r>
              <w:rPr/>
              <w:t xml:space="preserve">6 </w:t>
            </w:r>
          </w:p>
        </w:tc>
        <w:tc>
          <w:tcPr>
            <w:tcW w:w="5195" w:type="dxa"/>
            <w:tcBorders/>
            <w:vAlign w:val="center"/>
          </w:tcPr>
          <w:p>
            <w:pPr>
              <w:pStyle w:val="TableContents"/>
              <w:bidi w:val="0"/>
              <w:spacing w:before="0" w:after="283"/>
              <w:jc w:val="start"/>
              <w:rPr/>
            </w:pPr>
            <w:r>
              <w:rPr/>
              <w:t xml:space="preserve">Conjugate: Alkaline phosphatase-labeled monoclonal anti-human IgG Antibodies (mouse) + 0. 9g/l sodium azide (400 µl). </w:t>
            </w:r>
          </w:p>
        </w:tc>
      </w:tr>
      <w:tr>
        <w:trPr/>
        <w:tc>
          <w:tcPr>
            <w:tcW w:w="647" w:type="dxa"/>
            <w:tcBorders/>
            <w:vAlign w:val="center"/>
          </w:tcPr>
          <w:p>
            <w:pPr>
              <w:pStyle w:val="TableContents"/>
              <w:bidi w:val="0"/>
              <w:spacing w:before="0" w:after="283"/>
              <w:jc w:val="start"/>
              <w:rPr/>
            </w:pPr>
            <w:r>
              <w:rPr/>
              <w:t xml:space="preserve">9 </w:t>
            </w:r>
          </w:p>
        </w:tc>
        <w:tc>
          <w:tcPr>
            <w:tcW w:w="5195" w:type="dxa"/>
            <w:tcBorders/>
            <w:vAlign w:val="center"/>
          </w:tcPr>
          <w:p>
            <w:pPr>
              <w:pStyle w:val="TableContents"/>
              <w:bidi w:val="0"/>
              <w:spacing w:before="0" w:after="283"/>
              <w:jc w:val="start"/>
              <w:rPr/>
            </w:pPr>
            <w:r>
              <w:rPr/>
              <w:t xml:space="preserve">Serum diluents: TRIS buffer (50mmol/l) PH 7. 4+ protein and chemical stabilizer + 0. 9 g/l sodium azide (400µl). </w:t>
            </w:r>
          </w:p>
        </w:tc>
      </w:tr>
      <w:tr>
        <w:trPr/>
        <w:tc>
          <w:tcPr>
            <w:tcW w:w="647" w:type="dxa"/>
            <w:tcBorders/>
            <w:vAlign w:val="center"/>
          </w:tcPr>
          <w:p>
            <w:pPr>
              <w:pStyle w:val="TableContents"/>
              <w:bidi w:val="0"/>
              <w:spacing w:before="0" w:after="283"/>
              <w:jc w:val="start"/>
              <w:rPr/>
            </w:pPr>
            <w:r>
              <w:rPr/>
              <w:t xml:space="preserve">10 </w:t>
            </w:r>
          </w:p>
        </w:tc>
        <w:tc>
          <w:tcPr>
            <w:tcW w:w="5195" w:type="dxa"/>
            <w:tcBorders/>
            <w:vAlign w:val="center"/>
          </w:tcPr>
          <w:p>
            <w:pPr>
              <w:pStyle w:val="TableContents"/>
              <w:bidi w:val="0"/>
              <w:spacing w:before="0" w:after="283"/>
              <w:jc w:val="start"/>
              <w:rPr/>
            </w:pPr>
            <w:r>
              <w:rPr/>
              <w:t xml:space="preserve">Cuvette with substrate: 4-Methyle-umbelliferyl phosphate (0. 6mmol/l)+diethanolamine(DEA) (0. 62mol/l or 6. 6%, PH 9. 2)+1g/l sodium azide (300µl). </w:t>
            </w:r>
          </w:p>
        </w:tc>
      </w:tr>
    </w:tbl>
    <w:p>
      <w:pPr>
        <w:pStyle w:val="Heading3"/>
        <w:bidi w:val="0"/>
        <w:jc w:val="start"/>
        <w:rPr/>
      </w:pPr>
      <w:r>
        <w:rPr/>
        <w:t xml:space="preserve">Procedure </w:t>
      </w:r>
    </w:p>
    <w:p>
      <w:pPr>
        <w:pStyle w:val="TextBody"/>
        <w:numPr>
          <w:ilvl w:val="0"/>
          <w:numId w:val="2"/>
        </w:numPr>
        <w:tabs>
          <w:tab w:val="clear" w:pos="1134"/>
          <w:tab w:val="left" w:pos="707" w:leader="none"/>
        </w:tabs>
        <w:bidi w:val="0"/>
        <w:spacing w:before="0" w:after="0"/>
        <w:ind w:start="707" w:hanging="283"/>
        <w:jc w:val="start"/>
        <w:rPr/>
      </w:pPr>
      <w:r>
        <w:rPr/>
        <w:t xml:space="preserve">The required reagents Were removed from The refrigerator and allowed to come to room temperature for at least 30 minutes . </w:t>
      </w:r>
    </w:p>
    <w:p>
      <w:pPr>
        <w:pStyle w:val="TextBody"/>
        <w:numPr>
          <w:ilvl w:val="0"/>
          <w:numId w:val="2"/>
        </w:numPr>
        <w:tabs>
          <w:tab w:val="clear" w:pos="1134"/>
          <w:tab w:val="left" w:pos="707" w:leader="none"/>
        </w:tabs>
        <w:bidi w:val="0"/>
        <w:spacing w:before="0" w:after="0"/>
        <w:ind w:start="707" w:hanging="283"/>
        <w:jc w:val="start"/>
        <w:rPr/>
      </w:pPr>
      <w:r>
        <w:rPr/>
        <w:t xml:space="preserve">Used one “ TXG” strip and one “ TXG” SPR for each sample, control or calibrator to be tested. </w:t>
      </w:r>
    </w:p>
    <w:p>
      <w:pPr>
        <w:pStyle w:val="TextBody"/>
        <w:numPr>
          <w:ilvl w:val="0"/>
          <w:numId w:val="2"/>
        </w:numPr>
        <w:tabs>
          <w:tab w:val="clear" w:pos="1134"/>
          <w:tab w:val="left" w:pos="707" w:leader="none"/>
        </w:tabs>
        <w:bidi w:val="0"/>
        <w:spacing w:before="0" w:after="0"/>
        <w:ind w:start="707" w:hanging="283"/>
        <w:jc w:val="start"/>
        <w:rPr/>
      </w:pPr>
      <w:r>
        <w:rPr/>
        <w:t xml:space="preserve">The test is identified by the “ TXG” code on the instrument. The calibrator must be identified by “ S1” and tested in duplicate. If the positive control is to be tested it should be identified by “ C1”. If the negative control need to be tested, it should be identified by C2. </w:t>
      </w:r>
    </w:p>
    <w:p>
      <w:pPr>
        <w:pStyle w:val="TextBody"/>
        <w:numPr>
          <w:ilvl w:val="0"/>
          <w:numId w:val="2"/>
        </w:numPr>
        <w:tabs>
          <w:tab w:val="clear" w:pos="1134"/>
          <w:tab w:val="left" w:pos="707" w:leader="none"/>
        </w:tabs>
        <w:bidi w:val="0"/>
        <w:spacing w:before="0" w:after="0"/>
        <w:ind w:start="707" w:hanging="283"/>
        <w:jc w:val="start"/>
        <w:rPr/>
      </w:pPr>
      <w:r>
        <w:rPr/>
        <w:t xml:space="preserve">Mix the calibrator, control and samples using a vortex-type mixer (for serum or plasma separated from the pellet. </w:t>
      </w:r>
    </w:p>
    <w:p>
      <w:pPr>
        <w:pStyle w:val="TextBody"/>
        <w:numPr>
          <w:ilvl w:val="0"/>
          <w:numId w:val="2"/>
        </w:numPr>
        <w:tabs>
          <w:tab w:val="clear" w:pos="1134"/>
          <w:tab w:val="left" w:pos="707" w:leader="none"/>
        </w:tabs>
        <w:bidi w:val="0"/>
        <w:spacing w:before="0" w:after="0"/>
        <w:ind w:start="707" w:hanging="283"/>
        <w:jc w:val="start"/>
        <w:rPr/>
      </w:pPr>
      <w:r>
        <w:rPr/>
        <w:t xml:space="preserve">For this test, the calibrator, control, and sample test portion is 100µl. </w:t>
      </w:r>
    </w:p>
    <w:p>
      <w:pPr>
        <w:pStyle w:val="TextBody"/>
        <w:numPr>
          <w:ilvl w:val="0"/>
          <w:numId w:val="2"/>
        </w:numPr>
        <w:tabs>
          <w:tab w:val="clear" w:pos="1134"/>
          <w:tab w:val="left" w:pos="707" w:leader="none"/>
        </w:tabs>
        <w:bidi w:val="0"/>
        <w:spacing w:before="0" w:after="0"/>
        <w:ind w:start="707" w:hanging="283"/>
        <w:jc w:val="start"/>
        <w:rPr/>
      </w:pPr>
      <w:r>
        <w:rPr/>
        <w:t xml:space="preserve">Insert “ TXG” SPR S and “ TXG” strips into the instrument. Check to make sure the color labels with the assay code and the SPR S and Reagent strips match. </w:t>
      </w:r>
    </w:p>
    <w:p>
      <w:pPr>
        <w:pStyle w:val="TextBody"/>
        <w:numPr>
          <w:ilvl w:val="0"/>
          <w:numId w:val="2"/>
        </w:numPr>
        <w:tabs>
          <w:tab w:val="clear" w:pos="1134"/>
          <w:tab w:val="left" w:pos="707" w:leader="none"/>
        </w:tabs>
        <w:bidi w:val="0"/>
        <w:spacing w:before="0" w:after="0"/>
        <w:ind w:start="707" w:hanging="283"/>
        <w:jc w:val="start"/>
        <w:rPr/>
      </w:pPr>
      <w:r>
        <w:rPr/>
        <w:t xml:space="preserve">Initiate the assay as directed in the user’s manual. All the assay steps are performed automatically by the instrument. </w:t>
      </w:r>
    </w:p>
    <w:p>
      <w:pPr>
        <w:pStyle w:val="TextBody"/>
        <w:numPr>
          <w:ilvl w:val="0"/>
          <w:numId w:val="2"/>
        </w:numPr>
        <w:tabs>
          <w:tab w:val="clear" w:pos="1134"/>
          <w:tab w:val="left" w:pos="707" w:leader="none"/>
        </w:tabs>
        <w:bidi w:val="0"/>
        <w:spacing w:before="0" w:after="0"/>
        <w:ind w:start="707" w:hanging="283"/>
        <w:jc w:val="start"/>
        <w:rPr/>
      </w:pPr>
      <w:r>
        <w:rPr/>
        <w:t xml:space="preserve">Re stopper the vials and return them to 2-8 ºC after pipetting. </w:t>
      </w:r>
    </w:p>
    <w:p>
      <w:pPr>
        <w:pStyle w:val="TextBody"/>
        <w:numPr>
          <w:ilvl w:val="0"/>
          <w:numId w:val="2"/>
        </w:numPr>
        <w:tabs>
          <w:tab w:val="clear" w:pos="1134"/>
          <w:tab w:val="left" w:pos="707" w:leader="none"/>
        </w:tabs>
        <w:bidi w:val="0"/>
        <w:spacing w:before="0" w:after="0"/>
        <w:ind w:start="707" w:hanging="283"/>
        <w:jc w:val="start"/>
        <w:rPr/>
      </w:pPr>
      <w:r>
        <w:rPr/>
        <w:t xml:space="preserve">the assay will be completed within approximately 40 minutes. After the assay is completed, remove the SPRs and strips from the instruments. </w:t>
      </w:r>
    </w:p>
    <w:p>
      <w:pPr>
        <w:pStyle w:val="TextBody"/>
        <w:numPr>
          <w:ilvl w:val="0"/>
          <w:numId w:val="2"/>
        </w:numPr>
        <w:tabs>
          <w:tab w:val="clear" w:pos="1134"/>
          <w:tab w:val="left" w:pos="707" w:leader="none"/>
        </w:tabs>
        <w:bidi w:val="0"/>
        <w:ind w:start="707" w:hanging="283"/>
        <w:jc w:val="start"/>
        <w:rPr/>
      </w:pPr>
      <w:r>
        <w:rPr/>
        <w:t xml:space="preserve">Dispose of the used SPRs and strips into an appropriate recipient. </w:t>
      </w:r>
    </w:p>
    <w:p>
      <w:pPr>
        <w:pStyle w:val="Heading3"/>
        <w:bidi w:val="0"/>
        <w:jc w:val="start"/>
        <w:rPr/>
      </w:pPr>
      <w:r>
        <w:rPr/>
        <w:t xml:space="preserve">Results and interpretation: </w:t>
      </w:r>
    </w:p>
    <w:p>
      <w:pPr>
        <w:pStyle w:val="TextBody"/>
        <w:bidi w:val="0"/>
        <w:spacing w:before="0" w:after="283"/>
        <w:jc w:val="start"/>
        <w:rPr/>
      </w:pPr>
      <w:r>
        <w:rPr/>
        <w:t xml:space="preserve">Once the assay is completed, results are analyzed automatically by the computer fluorescence is measured twice in the Reagent Strip’s reading cuvette for each sample tested. The first reading is a background reading of the substrate cuvette before the SPR introduced into the substrate. The second reading is taken after incubating the substrate with the enzyme remaining on the interior of the SPR. The RFV (relative fluorescence value) is calculated by subtracting the background reading from the final result. This calculation appears on the result sheet. </w:t>
      </w:r>
    </w:p>
    <w:tbl>
      <w:tblPr>
        <w:tblW w:w="2867" w:type="dxa"/>
        <w:jc w:val="start"/>
        <w:tblInd w:w="0" w:type="dxa"/>
        <w:tblLayout w:type="fixed"/>
        <w:tblCellMar>
          <w:top w:w="28" w:type="dxa"/>
          <w:start w:w="28" w:type="dxa"/>
          <w:bottom w:w="28" w:type="dxa"/>
          <w:end w:w="28" w:type="dxa"/>
        </w:tblCellMar>
      </w:tblPr>
      <w:tblGrid>
        <w:gridCol w:w="1396"/>
        <w:gridCol w:w="1471"/>
      </w:tblGrid>
      <w:tr>
        <w:trPr/>
        <w:tc>
          <w:tcPr>
            <w:tcW w:w="1396" w:type="dxa"/>
            <w:tcBorders/>
            <w:vAlign w:val="center"/>
          </w:tcPr>
          <w:p>
            <w:pPr>
              <w:pStyle w:val="TableContents"/>
              <w:bidi w:val="0"/>
              <w:spacing w:before="0" w:after="283"/>
              <w:jc w:val="start"/>
              <w:rPr/>
            </w:pPr>
            <w:r>
              <w:rPr/>
              <w:t xml:space="preserve">Titer (IU/ml) </w:t>
            </w:r>
          </w:p>
        </w:tc>
        <w:tc>
          <w:tcPr>
            <w:tcW w:w="1471" w:type="dxa"/>
            <w:tcBorders/>
            <w:vAlign w:val="center"/>
          </w:tcPr>
          <w:p>
            <w:pPr>
              <w:pStyle w:val="TableContents"/>
              <w:bidi w:val="0"/>
              <w:spacing w:before="0" w:after="283"/>
              <w:jc w:val="start"/>
              <w:rPr/>
            </w:pPr>
            <w:r>
              <w:rPr/>
              <w:t xml:space="preserve">Interpretation </w:t>
            </w:r>
          </w:p>
        </w:tc>
      </w:tr>
      <w:tr>
        <w:trPr/>
        <w:tc>
          <w:tcPr>
            <w:tcW w:w="1396" w:type="dxa"/>
            <w:tcBorders/>
            <w:vAlign w:val="center"/>
          </w:tcPr>
          <w:p>
            <w:pPr>
              <w:pStyle w:val="TableContents"/>
              <w:bidi w:val="0"/>
              <w:spacing w:before="0" w:after="283"/>
              <w:jc w:val="start"/>
              <w:rPr/>
            </w:pPr>
            <w:r>
              <w:rPr/>
              <w:t xml:space="preserve">&lt;4 </w:t>
            </w:r>
          </w:p>
        </w:tc>
        <w:tc>
          <w:tcPr>
            <w:tcW w:w="1471" w:type="dxa"/>
            <w:tcBorders/>
            <w:vAlign w:val="center"/>
          </w:tcPr>
          <w:p>
            <w:pPr>
              <w:pStyle w:val="TableContents"/>
              <w:bidi w:val="0"/>
              <w:spacing w:before="0" w:after="283"/>
              <w:jc w:val="start"/>
              <w:rPr/>
            </w:pPr>
            <w:r>
              <w:rPr/>
              <w:t xml:space="preserve">Negative </w:t>
            </w:r>
          </w:p>
        </w:tc>
      </w:tr>
      <w:tr>
        <w:trPr/>
        <w:tc>
          <w:tcPr>
            <w:tcW w:w="1396" w:type="dxa"/>
            <w:tcBorders/>
            <w:vAlign w:val="center"/>
          </w:tcPr>
          <w:p>
            <w:pPr>
              <w:pStyle w:val="TableContents"/>
              <w:bidi w:val="0"/>
              <w:spacing w:before="0" w:after="283"/>
              <w:jc w:val="start"/>
              <w:rPr/>
            </w:pPr>
            <w:r>
              <w:rPr/>
              <w:t xml:space="preserve">4≤ Titer &lt;8 </w:t>
            </w:r>
          </w:p>
        </w:tc>
        <w:tc>
          <w:tcPr>
            <w:tcW w:w="1471" w:type="dxa"/>
            <w:tcBorders/>
            <w:vAlign w:val="center"/>
          </w:tcPr>
          <w:p>
            <w:pPr>
              <w:pStyle w:val="TableContents"/>
              <w:bidi w:val="0"/>
              <w:spacing w:before="0" w:after="283"/>
              <w:jc w:val="start"/>
              <w:rPr/>
            </w:pPr>
            <w:r>
              <w:rPr/>
              <w:t xml:space="preserve">Equivocal </w:t>
            </w:r>
          </w:p>
        </w:tc>
      </w:tr>
      <w:tr>
        <w:trPr/>
        <w:tc>
          <w:tcPr>
            <w:tcW w:w="1396" w:type="dxa"/>
            <w:tcBorders/>
            <w:vAlign w:val="center"/>
          </w:tcPr>
          <w:p>
            <w:pPr>
              <w:pStyle w:val="TableContents"/>
              <w:bidi w:val="0"/>
              <w:spacing w:before="0" w:after="283"/>
              <w:jc w:val="start"/>
              <w:rPr/>
            </w:pPr>
            <w:r>
              <w:rPr/>
              <w:t>≥</w:t>
            </w:r>
            <w:r>
              <w:rPr/>
              <w:t xml:space="preserve">8 </w:t>
            </w:r>
          </w:p>
        </w:tc>
        <w:tc>
          <w:tcPr>
            <w:tcW w:w="1471" w:type="dxa"/>
            <w:tcBorders/>
            <w:vAlign w:val="center"/>
          </w:tcPr>
          <w:p>
            <w:pPr>
              <w:pStyle w:val="TableContents"/>
              <w:bidi w:val="0"/>
              <w:spacing w:before="0" w:after="283"/>
              <w:jc w:val="start"/>
              <w:rPr/>
            </w:pPr>
            <w:r>
              <w:rPr/>
              <w:t xml:space="preserve">Positive </w:t>
            </w:r>
          </w:p>
        </w:tc>
      </w:tr>
    </w:tbl>
    <w:p>
      <w:pPr>
        <w:pStyle w:val="TextBody"/>
        <w:bidi w:val="0"/>
        <w:spacing w:before="0" w:after="283"/>
        <w:jc w:val="start"/>
        <w:rPr/>
      </w:pPr>
      <w:r>
        <w:rPr/>
        <w:t xml:space="preserve">The results are automatically calculated by the instrument using calibration curves which are stored by the instrument (4-parameter logistic model) and are expressed in (IU/ml) (2 </w:t>
      </w:r>
      <w:r>
        <w:rPr>
          <w:position w:val="8"/>
          <w:sz w:val="19"/>
        </w:rPr>
        <w:t xml:space="preserve">nd </w:t>
      </w:r>
      <w:r>
        <w:rPr/>
        <w:t xml:space="preserve">WHO international standard). </w:t>
      </w:r>
    </w:p>
    <w:p>
      <w:pPr>
        <w:pStyle w:val="Heading3"/>
        <w:bidi w:val="0"/>
        <w:jc w:val="start"/>
        <w:rPr/>
      </w:pPr>
      <w:r>
        <w:rPr/>
        <w:t xml:space="preserve">VIDAS Method for the Measurement Anti-T. gondii IgM antibody: </w:t>
      </w:r>
    </w:p>
    <w:p>
      <w:pPr>
        <w:pStyle w:val="Heading4"/>
        <w:bidi w:val="0"/>
        <w:jc w:val="start"/>
        <w:rPr/>
      </w:pPr>
      <w:r>
        <w:rPr/>
        <w:t xml:space="preserve">Principle: </w:t>
      </w:r>
    </w:p>
    <w:p>
      <w:pPr>
        <w:pStyle w:val="TextBody"/>
        <w:bidi w:val="0"/>
        <w:spacing w:before="0" w:after="283"/>
        <w:jc w:val="start"/>
        <w:rPr/>
      </w:pPr>
      <w:r>
        <w:rPr/>
        <w:t xml:space="preserve">The assay principle a two-step enzyme immune assay sandwich methods with a final fluorescent detection (ELFA). The solid phase Receptacle (SPR) has been used as the solid phase as well as pipetting device for the assay. Reagent for the assay have been ready-to-used and pre-dispensed in the sealed reagent strips. The assay steps have been performed automatically by the instrument. The reaction medium is cycled in and out of the SPR several times. After a sample dilution step, the IgM are captured he polyclonal Ab coating the interior of the SPR . Anti-T. gondii IgM are specifically detected by inactivated toxoplasma antigen (RH sabin strain), which is itself revealed by an alkaline phosphatase-labeled murine monoclonal anti body (anti-p30) . During the final detection step, the substrate (4-Methyl-umbelliferyl phosphate) is cycled and out of the SPR. The conjugate enzyme catalyzes the hydrolysis of this substrate into a fluorescent product (4- Methyl-umbellefrone) the fluorescent of which is measured at 450 nm. The intensity of the fluorescence of which is proportional to the concentration of antibodies present in the sample. At the end of the assay, result are automatically calculated by the instrument in relation to the S1standard stored in memory, and then printed out. </w:t>
      </w:r>
    </w:p>
    <w:p>
      <w:pPr>
        <w:pStyle w:val="TextBody"/>
        <w:bidi w:val="0"/>
        <w:spacing w:before="0" w:after="283"/>
        <w:jc w:val="start"/>
        <w:rPr/>
      </w:pPr>
      <w:r>
        <w:rPr/>
        <w:t xml:space="preserve">Content of the kit (60 tests): 3. 4. 2. 2 </w:t>
      </w:r>
    </w:p>
    <w:tbl>
      <w:tblPr>
        <w:tblW w:w="5842" w:type="dxa"/>
        <w:jc w:val="start"/>
        <w:tblInd w:w="0" w:type="dxa"/>
        <w:tblLayout w:type="fixed"/>
        <w:tblCellMar>
          <w:top w:w="28" w:type="dxa"/>
          <w:start w:w="28" w:type="dxa"/>
          <w:bottom w:w="28" w:type="dxa"/>
          <w:end w:w="28" w:type="dxa"/>
        </w:tblCellMar>
      </w:tblPr>
      <w:tblGrid>
        <w:gridCol w:w="3419"/>
        <w:gridCol w:w="1198"/>
        <w:gridCol w:w="1225"/>
      </w:tblGrid>
      <w:tr>
        <w:trPr/>
        <w:tc>
          <w:tcPr>
            <w:tcW w:w="3419" w:type="dxa"/>
            <w:tcBorders/>
            <w:vAlign w:val="center"/>
          </w:tcPr>
          <w:p>
            <w:pPr>
              <w:pStyle w:val="TableContents"/>
              <w:bidi w:val="0"/>
              <w:spacing w:before="0" w:after="283"/>
              <w:jc w:val="start"/>
              <w:rPr/>
            </w:pPr>
            <w:r>
              <w:rPr/>
              <w:t xml:space="preserve">Ready-to-use </w:t>
            </w:r>
          </w:p>
        </w:tc>
        <w:tc>
          <w:tcPr>
            <w:tcW w:w="1198" w:type="dxa"/>
            <w:tcBorders/>
            <w:vAlign w:val="center"/>
          </w:tcPr>
          <w:p>
            <w:pPr>
              <w:pStyle w:val="TableContents"/>
              <w:bidi w:val="0"/>
              <w:spacing w:before="0" w:after="283"/>
              <w:jc w:val="start"/>
              <w:rPr/>
            </w:pPr>
            <w:r>
              <w:rPr/>
              <w:t xml:space="preserve">STR </w:t>
            </w:r>
          </w:p>
        </w:tc>
        <w:tc>
          <w:tcPr>
            <w:tcW w:w="1225" w:type="dxa"/>
            <w:tcBorders/>
            <w:vAlign w:val="center"/>
          </w:tcPr>
          <w:p>
            <w:pPr>
              <w:pStyle w:val="TableContents"/>
              <w:bidi w:val="0"/>
              <w:spacing w:before="0" w:after="283"/>
              <w:jc w:val="start"/>
              <w:rPr/>
            </w:pPr>
            <w:r>
              <w:rPr/>
              <w:t xml:space="preserve">60 TXM strips </w:t>
            </w:r>
          </w:p>
        </w:tc>
      </w:tr>
      <w:tr>
        <w:trPr/>
        <w:tc>
          <w:tcPr>
            <w:tcW w:w="3419" w:type="dxa"/>
            <w:tcBorders/>
            <w:vAlign w:val="center"/>
          </w:tcPr>
          <w:p>
            <w:pPr>
              <w:pStyle w:val="TableContents"/>
              <w:bidi w:val="0"/>
              <w:jc w:val="start"/>
              <w:rPr/>
            </w:pPr>
            <w:r>
              <w:rPr/>
              <w:t xml:space="preserve">Ready-to-use. </w:t>
            </w:r>
          </w:p>
          <w:p>
            <w:pPr>
              <w:pStyle w:val="TableContents"/>
              <w:bidi w:val="0"/>
              <w:spacing w:before="0" w:after="283"/>
              <w:jc w:val="start"/>
              <w:rPr/>
            </w:pPr>
            <w:r>
              <w:rPr/>
              <w:t xml:space="preserve">Interior of SPR coated with anti-human µ chain antibodies ( goat ). </w:t>
            </w:r>
          </w:p>
        </w:tc>
        <w:tc>
          <w:tcPr>
            <w:tcW w:w="1198" w:type="dxa"/>
            <w:tcBorders/>
            <w:vAlign w:val="center"/>
          </w:tcPr>
          <w:p>
            <w:pPr>
              <w:pStyle w:val="TableContents"/>
              <w:bidi w:val="0"/>
              <w:spacing w:before="0" w:after="283"/>
              <w:jc w:val="start"/>
              <w:rPr/>
            </w:pPr>
            <w:r>
              <w:rPr/>
              <w:t xml:space="preserve">SPR </w:t>
            </w:r>
          </w:p>
        </w:tc>
        <w:tc>
          <w:tcPr>
            <w:tcW w:w="1225" w:type="dxa"/>
            <w:tcBorders/>
            <w:vAlign w:val="center"/>
          </w:tcPr>
          <w:p>
            <w:pPr>
              <w:pStyle w:val="TableContents"/>
              <w:bidi w:val="0"/>
              <w:jc w:val="start"/>
              <w:rPr/>
            </w:pPr>
            <w:r>
              <w:rPr/>
              <w:t xml:space="preserve">60 TXM SPRs </w:t>
            </w:r>
          </w:p>
          <w:p>
            <w:pPr>
              <w:pStyle w:val="TableContents"/>
              <w:bidi w:val="0"/>
              <w:spacing w:before="0" w:after="283"/>
              <w:jc w:val="start"/>
              <w:rPr/>
            </w:pPr>
            <w:r>
              <w:rPr/>
              <w:t xml:space="preserve">2X30 </w:t>
            </w:r>
          </w:p>
        </w:tc>
      </w:tr>
      <w:tr>
        <w:trPr/>
        <w:tc>
          <w:tcPr>
            <w:tcW w:w="3419" w:type="dxa"/>
            <w:tcBorders/>
            <w:vAlign w:val="center"/>
          </w:tcPr>
          <w:p>
            <w:pPr>
              <w:pStyle w:val="TableContents"/>
              <w:bidi w:val="0"/>
              <w:jc w:val="start"/>
              <w:rPr/>
            </w:pPr>
            <w:r>
              <w:rPr/>
              <w:t xml:space="preserve">Human serum* containing anti-Toxoplasma IgM protein stabilizer + 1 gl sodium azide. </w:t>
            </w:r>
          </w:p>
          <w:p>
            <w:pPr>
              <w:pStyle w:val="TableContents"/>
              <w:bidi w:val="0"/>
              <w:spacing w:before="0" w:after="283"/>
              <w:jc w:val="start"/>
              <w:rPr/>
            </w:pPr>
            <w:r>
              <w:rPr/>
              <w:t xml:space="preserve">Index : the confidence interval is indicated on MLE card after the following mention: “ control C1 (+) test value range”. </w:t>
            </w:r>
          </w:p>
        </w:tc>
        <w:tc>
          <w:tcPr>
            <w:tcW w:w="1198" w:type="dxa"/>
            <w:tcBorders/>
            <w:vAlign w:val="center"/>
          </w:tcPr>
          <w:p>
            <w:pPr>
              <w:pStyle w:val="TableContents"/>
              <w:bidi w:val="0"/>
              <w:spacing w:before="0" w:after="283"/>
              <w:jc w:val="start"/>
              <w:rPr/>
            </w:pPr>
            <w:r>
              <w:rPr/>
              <w:t xml:space="preserve">C1 </w:t>
            </w:r>
          </w:p>
        </w:tc>
        <w:tc>
          <w:tcPr>
            <w:tcW w:w="1225" w:type="dxa"/>
            <w:tcBorders/>
            <w:vAlign w:val="center"/>
          </w:tcPr>
          <w:p>
            <w:pPr>
              <w:pStyle w:val="TableContents"/>
              <w:bidi w:val="0"/>
              <w:jc w:val="start"/>
              <w:rPr/>
            </w:pPr>
            <w:r>
              <w:rPr/>
              <w:t xml:space="preserve">TXM positive control </w:t>
            </w:r>
          </w:p>
          <w:p>
            <w:pPr>
              <w:pStyle w:val="TableContents"/>
              <w:bidi w:val="0"/>
              <w:spacing w:before="0" w:after="283"/>
              <w:jc w:val="start"/>
              <w:rPr/>
            </w:pPr>
            <w:r>
              <w:rPr/>
              <w:t xml:space="preserve">1X2 ml (liquid) </w:t>
            </w:r>
          </w:p>
        </w:tc>
      </w:tr>
      <w:tr>
        <w:trPr/>
        <w:tc>
          <w:tcPr>
            <w:tcW w:w="3419" w:type="dxa"/>
            <w:tcBorders/>
            <w:vAlign w:val="center"/>
          </w:tcPr>
          <w:p>
            <w:pPr>
              <w:pStyle w:val="TableContents"/>
              <w:bidi w:val="0"/>
              <w:spacing w:before="0" w:after="283"/>
              <w:jc w:val="start"/>
              <w:rPr/>
            </w:pPr>
            <w:r>
              <w:rPr/>
              <w:t xml:space="preserve">Human serum* negative for anti-Toxoplasma IgM protein stabilizer + 1 gl sodium azide. </w:t>
            </w:r>
          </w:p>
        </w:tc>
        <w:tc>
          <w:tcPr>
            <w:tcW w:w="1198" w:type="dxa"/>
            <w:tcBorders/>
            <w:vAlign w:val="center"/>
          </w:tcPr>
          <w:p>
            <w:pPr>
              <w:pStyle w:val="TableContents"/>
              <w:bidi w:val="0"/>
              <w:spacing w:before="0" w:after="283"/>
              <w:jc w:val="start"/>
              <w:rPr/>
            </w:pPr>
            <w:r>
              <w:rPr/>
              <w:t xml:space="preserve">C2 </w:t>
            </w:r>
          </w:p>
        </w:tc>
        <w:tc>
          <w:tcPr>
            <w:tcW w:w="1225" w:type="dxa"/>
            <w:tcBorders/>
            <w:vAlign w:val="center"/>
          </w:tcPr>
          <w:p>
            <w:pPr>
              <w:pStyle w:val="TableContents"/>
              <w:bidi w:val="0"/>
              <w:jc w:val="start"/>
              <w:rPr/>
            </w:pPr>
            <w:r>
              <w:rPr/>
              <w:t xml:space="preserve">TXM negative control </w:t>
            </w:r>
          </w:p>
          <w:p>
            <w:pPr>
              <w:pStyle w:val="TableContents"/>
              <w:bidi w:val="0"/>
              <w:spacing w:before="0" w:after="283"/>
              <w:jc w:val="start"/>
              <w:rPr/>
            </w:pPr>
            <w:r>
              <w:rPr/>
              <w:t xml:space="preserve">1X2 ml (liquid) </w:t>
            </w:r>
          </w:p>
        </w:tc>
      </w:tr>
      <w:tr>
        <w:trPr/>
        <w:tc>
          <w:tcPr>
            <w:tcW w:w="3419" w:type="dxa"/>
            <w:tcBorders/>
            <w:vAlign w:val="center"/>
          </w:tcPr>
          <w:p>
            <w:pPr>
              <w:pStyle w:val="TableContents"/>
              <w:bidi w:val="0"/>
              <w:jc w:val="start"/>
              <w:rPr/>
            </w:pPr>
            <w:r>
              <w:rPr/>
              <w:t xml:space="preserve">Human serum* containing anti-Toxoplasma IgM </w:t>
            </w:r>
          </w:p>
          <w:p>
            <w:pPr>
              <w:pStyle w:val="TableContents"/>
              <w:bidi w:val="0"/>
              <w:spacing w:before="0" w:after="283"/>
              <w:jc w:val="start"/>
              <w:rPr/>
            </w:pPr>
            <w:r>
              <w:rPr/>
              <w:t xml:space="preserve">+ protein stabilizer + 1 gl sodium azide. </w:t>
            </w:r>
          </w:p>
        </w:tc>
        <w:tc>
          <w:tcPr>
            <w:tcW w:w="1198" w:type="dxa"/>
            <w:tcBorders/>
            <w:vAlign w:val="center"/>
          </w:tcPr>
          <w:p>
            <w:pPr>
              <w:pStyle w:val="TableContents"/>
              <w:bidi w:val="0"/>
              <w:spacing w:before="0" w:after="283"/>
              <w:jc w:val="start"/>
              <w:rPr/>
            </w:pPr>
            <w:r>
              <w:rPr/>
              <w:t xml:space="preserve">S1 </w:t>
            </w:r>
          </w:p>
        </w:tc>
        <w:tc>
          <w:tcPr>
            <w:tcW w:w="1225" w:type="dxa"/>
            <w:tcBorders/>
            <w:vAlign w:val="center"/>
          </w:tcPr>
          <w:p>
            <w:pPr>
              <w:pStyle w:val="TableContents"/>
              <w:bidi w:val="0"/>
              <w:jc w:val="start"/>
              <w:rPr/>
            </w:pPr>
            <w:r>
              <w:rPr/>
              <w:t xml:space="preserve">TXM Standard </w:t>
            </w:r>
          </w:p>
          <w:p>
            <w:pPr>
              <w:pStyle w:val="TableContents"/>
              <w:bidi w:val="0"/>
              <w:spacing w:before="0" w:after="283"/>
              <w:jc w:val="start"/>
              <w:rPr/>
            </w:pPr>
            <w:r>
              <w:rPr/>
              <w:t xml:space="preserve">1X1 ml (liquid). </w:t>
            </w:r>
          </w:p>
        </w:tc>
      </w:tr>
      <w:tr>
        <w:trPr/>
        <w:tc>
          <w:tcPr>
            <w:tcW w:w="3419" w:type="dxa"/>
            <w:tcBorders/>
            <w:vAlign w:val="center"/>
          </w:tcPr>
          <w:p>
            <w:pPr>
              <w:pStyle w:val="TableContents"/>
              <w:bidi w:val="0"/>
              <w:spacing w:before="0" w:after="283"/>
              <w:jc w:val="start"/>
              <w:rPr/>
            </w:pPr>
            <w:r>
              <w:rPr/>
              <w:t xml:space="preserve">Specification for the factory master data required two calibrate the test : to read MLE data. </w:t>
            </w:r>
          </w:p>
        </w:tc>
        <w:tc>
          <w:tcPr>
            <w:tcW w:w="1198" w:type="dxa"/>
            <w:tcBorders/>
            <w:vAlign w:val="center"/>
          </w:tcPr>
          <w:p>
            <w:pPr>
              <w:pStyle w:val="TableContents"/>
              <w:bidi w:val="0"/>
              <w:spacing w:before="0" w:after="283"/>
              <w:jc w:val="start"/>
              <w:rPr/>
            </w:pPr>
            <w:r>
              <w:rPr/>
              <w:t xml:space="preserve">1 MLE card (master lot entery) </w:t>
            </w:r>
          </w:p>
        </w:tc>
        <w:tc>
          <w:tcPr>
            <w:tcW w:w="1225" w:type="dxa"/>
            <w:tcBorders/>
          </w:tcPr>
          <w:p>
            <w:pPr>
              <w:pStyle w:val="TableContents"/>
              <w:bidi w:val="0"/>
              <w:spacing w:before="0" w:after="283"/>
              <w:jc w:val="start"/>
              <w:rPr>
                <w:sz w:val="4"/>
                <w:szCs w:val="4"/>
              </w:rPr>
            </w:pPr>
            <w:r>
              <w:rPr>
                <w:sz w:val="4"/>
                <w:szCs w:val="4"/>
              </w:rPr>
            </w:r>
          </w:p>
        </w:tc>
      </w:tr>
      <w:tr>
        <w:trPr/>
        <w:tc>
          <w:tcPr>
            <w:tcW w:w="3419" w:type="dxa"/>
            <w:tcBorders/>
            <w:vAlign w:val="center"/>
          </w:tcPr>
          <w:p>
            <w:pPr>
              <w:pStyle w:val="TableContents"/>
              <w:bidi w:val="0"/>
              <w:spacing w:before="0" w:after="283"/>
              <w:jc w:val="start"/>
              <w:rPr/>
            </w:pPr>
            <w:r>
              <w:rPr/>
              <w:t xml:space="preserve">1 package insert </w:t>
            </w:r>
          </w:p>
        </w:tc>
        <w:tc>
          <w:tcPr>
            <w:tcW w:w="2423" w:type="dxa"/>
            <w:gridSpan w:val="2"/>
            <w:tcBorders/>
          </w:tcPr>
          <w:p>
            <w:pPr>
              <w:pStyle w:val="TableContents"/>
              <w:bidi w:val="0"/>
              <w:spacing w:before="0" w:after="283"/>
              <w:jc w:val="start"/>
              <w:rPr>
                <w:sz w:val="4"/>
                <w:szCs w:val="4"/>
              </w:rPr>
            </w:pPr>
            <w:r>
              <w:rPr>
                <w:sz w:val="4"/>
                <w:szCs w:val="4"/>
              </w:rPr>
            </w:r>
          </w:p>
        </w:tc>
      </w:tr>
      <w:tr>
        <w:trPr/>
        <w:tc>
          <w:tcPr>
            <w:tcW w:w="3419" w:type="dxa"/>
            <w:tcBorders/>
            <w:vAlign w:val="center"/>
          </w:tcPr>
          <w:p>
            <w:pPr>
              <w:pStyle w:val="TableContents"/>
              <w:bidi w:val="0"/>
              <w:spacing w:before="0" w:after="283"/>
              <w:jc w:val="start"/>
              <w:rPr>
                <w:sz w:val="4"/>
                <w:szCs w:val="4"/>
              </w:rPr>
            </w:pPr>
            <w:r>
              <w:rPr>
                <w:sz w:val="4"/>
                <w:szCs w:val="4"/>
              </w:rPr>
            </w:r>
          </w:p>
        </w:tc>
        <w:tc>
          <w:tcPr>
            <w:tcW w:w="1198" w:type="dxa"/>
            <w:tcBorders/>
            <w:vAlign w:val="center"/>
          </w:tcPr>
          <w:p>
            <w:pPr>
              <w:pStyle w:val="TableContents"/>
              <w:bidi w:val="0"/>
              <w:spacing w:before="0" w:after="283"/>
              <w:jc w:val="start"/>
              <w:rPr>
                <w:sz w:val="4"/>
                <w:szCs w:val="4"/>
              </w:rPr>
            </w:pPr>
            <w:r>
              <w:rPr>
                <w:sz w:val="4"/>
                <w:szCs w:val="4"/>
              </w:rPr>
            </w:r>
          </w:p>
        </w:tc>
        <w:tc>
          <w:tcPr>
            <w:tcW w:w="1225"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*this product has been tested and shown to be negative for HBs antigen, antibodies to HIV1, HIV2 and HCV. However , signs no existing test method can totally guarantee their absence, this product must be treated as potentially infectious, therefore, usual safety procedures should be observed when handling. </w:t>
      </w:r>
    </w:p>
    <w:p>
      <w:pPr>
        <w:pStyle w:val="Heading4"/>
        <w:bidi w:val="0"/>
        <w:jc w:val="start"/>
        <w:rPr/>
      </w:pPr>
      <w:r>
        <w:rPr/>
        <w:t xml:space="preserve">The solid phase receptacle (SPR) </w:t>
      </w:r>
    </w:p>
    <w:p>
      <w:pPr>
        <w:pStyle w:val="TextBody"/>
        <w:bidi w:val="0"/>
        <w:spacing w:before="0" w:after="283"/>
        <w:jc w:val="start"/>
        <w:rPr/>
      </w:pPr>
      <w:r>
        <w:rPr/>
        <w:t xml:space="preserve">The interior of the SPR is coated during production With anti-human µ chain antibodies . Each SPR is identified by TXM code. </w:t>
      </w:r>
    </w:p>
    <w:p>
      <w:pPr>
        <w:pStyle w:val="Heading4"/>
        <w:bidi w:val="0"/>
        <w:jc w:val="start"/>
        <w:rPr/>
      </w:pPr>
      <w:r>
        <w:rPr/>
        <w:t xml:space="preserve">The strip </w:t>
      </w:r>
    </w:p>
    <w:p>
      <w:pPr>
        <w:pStyle w:val="TextBody"/>
        <w:bidi w:val="0"/>
        <w:spacing w:before="0" w:after="283"/>
        <w:jc w:val="start"/>
        <w:rPr/>
      </w:pPr>
      <w:r>
        <w:rPr/>
        <w:t xml:space="preserve">The same as of the strip T. gondii IgG. </w:t>
      </w:r>
    </w:p>
    <w:p>
      <w:pPr>
        <w:pStyle w:val="Heading4"/>
        <w:bidi w:val="0"/>
        <w:jc w:val="start"/>
        <w:rPr/>
      </w:pPr>
      <w:r>
        <w:rPr/>
        <w:t xml:space="preserve">Description of the TXM strip </w:t>
      </w:r>
    </w:p>
    <w:tbl>
      <w:tblPr>
        <w:tblW w:w="5842" w:type="dxa"/>
        <w:jc w:val="start"/>
        <w:tblInd w:w="0" w:type="dxa"/>
        <w:tblLayout w:type="fixed"/>
        <w:tblCellMar>
          <w:top w:w="28" w:type="dxa"/>
          <w:start w:w="28" w:type="dxa"/>
          <w:bottom w:w="28" w:type="dxa"/>
          <w:end w:w="28" w:type="dxa"/>
        </w:tblCellMar>
      </w:tblPr>
      <w:tblGrid>
        <w:gridCol w:w="625"/>
        <w:gridCol w:w="5217"/>
      </w:tblGrid>
      <w:tr>
        <w:trPr/>
        <w:tc>
          <w:tcPr>
            <w:tcW w:w="625" w:type="dxa"/>
            <w:tcBorders/>
            <w:vAlign w:val="center"/>
          </w:tcPr>
          <w:p>
            <w:pPr>
              <w:pStyle w:val="TableContents"/>
              <w:bidi w:val="0"/>
              <w:spacing w:before="0" w:after="283"/>
              <w:jc w:val="start"/>
              <w:rPr/>
            </w:pPr>
            <w:r>
              <w:rPr/>
              <w:t xml:space="preserve">Well </w:t>
            </w:r>
          </w:p>
        </w:tc>
        <w:tc>
          <w:tcPr>
            <w:tcW w:w="5217" w:type="dxa"/>
            <w:tcBorders/>
            <w:vAlign w:val="center"/>
          </w:tcPr>
          <w:p>
            <w:pPr>
              <w:pStyle w:val="TableContents"/>
              <w:bidi w:val="0"/>
              <w:spacing w:before="0" w:after="283"/>
              <w:jc w:val="start"/>
              <w:rPr/>
            </w:pPr>
            <w:r>
              <w:rPr/>
              <w:t xml:space="preserve">Reagents </w:t>
            </w:r>
          </w:p>
        </w:tc>
      </w:tr>
      <w:tr>
        <w:trPr/>
        <w:tc>
          <w:tcPr>
            <w:tcW w:w="625" w:type="dxa"/>
            <w:tcBorders/>
            <w:vAlign w:val="center"/>
          </w:tcPr>
          <w:p>
            <w:pPr>
              <w:pStyle w:val="TableContents"/>
              <w:bidi w:val="0"/>
              <w:spacing w:before="0" w:after="283"/>
              <w:jc w:val="start"/>
              <w:rPr/>
            </w:pPr>
            <w:r>
              <w:rPr/>
              <w:t xml:space="preserve">1 </w:t>
            </w:r>
          </w:p>
        </w:tc>
        <w:tc>
          <w:tcPr>
            <w:tcW w:w="5217" w:type="dxa"/>
            <w:tcBorders/>
            <w:vAlign w:val="center"/>
          </w:tcPr>
          <w:p>
            <w:pPr>
              <w:pStyle w:val="TableContents"/>
              <w:bidi w:val="0"/>
              <w:spacing w:before="0" w:after="283"/>
              <w:jc w:val="start"/>
              <w:rPr/>
            </w:pPr>
            <w:r>
              <w:rPr/>
              <w:t xml:space="preserve">Sampel well. </w:t>
            </w:r>
          </w:p>
        </w:tc>
      </w:tr>
      <w:tr>
        <w:trPr/>
        <w:tc>
          <w:tcPr>
            <w:tcW w:w="625" w:type="dxa"/>
            <w:tcBorders/>
            <w:vAlign w:val="center"/>
          </w:tcPr>
          <w:p>
            <w:pPr>
              <w:pStyle w:val="TableContents"/>
              <w:bidi w:val="0"/>
              <w:spacing w:before="0" w:after="283"/>
              <w:jc w:val="start"/>
              <w:rPr/>
            </w:pPr>
            <w:r>
              <w:rPr/>
              <w:t xml:space="preserve">2 </w:t>
            </w:r>
          </w:p>
        </w:tc>
        <w:tc>
          <w:tcPr>
            <w:tcW w:w="5217" w:type="dxa"/>
            <w:tcBorders/>
            <w:vAlign w:val="center"/>
          </w:tcPr>
          <w:p>
            <w:pPr>
              <w:pStyle w:val="TableContents"/>
              <w:bidi w:val="0"/>
              <w:spacing w:before="0" w:after="283"/>
              <w:jc w:val="start"/>
              <w:rPr/>
            </w:pPr>
            <w:r>
              <w:rPr/>
              <w:t xml:space="preserve">Serum diluents: TRIS buffer (50mmol/l) PH 7. 4+protein and chemical stabilizer+0. 9 g/l sodium azide (300µl). </w:t>
            </w:r>
          </w:p>
        </w:tc>
      </w:tr>
      <w:tr>
        <w:trPr/>
        <w:tc>
          <w:tcPr>
            <w:tcW w:w="625" w:type="dxa"/>
            <w:tcBorders/>
            <w:vAlign w:val="center"/>
          </w:tcPr>
          <w:p>
            <w:pPr>
              <w:pStyle w:val="TableContents"/>
              <w:bidi w:val="0"/>
              <w:spacing w:before="0" w:after="283"/>
              <w:jc w:val="start"/>
              <w:rPr/>
            </w:pPr>
            <w:r>
              <w:rPr/>
              <w:t xml:space="preserve">3 </w:t>
            </w:r>
          </w:p>
        </w:tc>
        <w:tc>
          <w:tcPr>
            <w:tcW w:w="5217" w:type="dxa"/>
            <w:tcBorders/>
            <w:vAlign w:val="center"/>
          </w:tcPr>
          <w:p>
            <w:pPr>
              <w:pStyle w:val="TableContents"/>
              <w:bidi w:val="0"/>
              <w:spacing w:before="0" w:after="283"/>
              <w:jc w:val="start"/>
              <w:rPr/>
            </w:pPr>
            <w:r>
              <w:rPr/>
              <w:t xml:space="preserve">Pre-wash buffer: TRIS buffer (50mmol/l) PH 7. 4+protein and chemical stabilizer+0. 9 g/l sodium azide (600µl). </w:t>
            </w:r>
          </w:p>
        </w:tc>
      </w:tr>
      <w:tr>
        <w:trPr/>
        <w:tc>
          <w:tcPr>
            <w:tcW w:w="625" w:type="dxa"/>
            <w:tcBorders/>
            <w:vAlign w:val="center"/>
          </w:tcPr>
          <w:p>
            <w:pPr>
              <w:pStyle w:val="TableContents"/>
              <w:bidi w:val="0"/>
              <w:spacing w:before="0" w:after="283"/>
              <w:jc w:val="start"/>
              <w:rPr/>
            </w:pPr>
            <w:r>
              <w:rPr/>
              <w:t xml:space="preserve">4-5-7-8 </w:t>
            </w:r>
          </w:p>
        </w:tc>
        <w:tc>
          <w:tcPr>
            <w:tcW w:w="5217" w:type="dxa"/>
            <w:tcBorders/>
            <w:vAlign w:val="center"/>
          </w:tcPr>
          <w:p>
            <w:pPr>
              <w:pStyle w:val="TableContents"/>
              <w:bidi w:val="0"/>
              <w:spacing w:before="0" w:after="283"/>
              <w:jc w:val="start"/>
              <w:rPr/>
            </w:pPr>
            <w:r>
              <w:rPr/>
              <w:t xml:space="preserve">Wash buffer: TRIS buffer (50mmol/l) PH 7. 4+protein and chemical stabilizer+0. 9 g/l sodium azide (600µl). </w:t>
            </w:r>
          </w:p>
        </w:tc>
      </w:tr>
      <w:tr>
        <w:trPr/>
        <w:tc>
          <w:tcPr>
            <w:tcW w:w="625" w:type="dxa"/>
            <w:tcBorders/>
            <w:vAlign w:val="center"/>
          </w:tcPr>
          <w:p>
            <w:pPr>
              <w:pStyle w:val="TableContents"/>
              <w:bidi w:val="0"/>
              <w:spacing w:before="0" w:after="283"/>
              <w:jc w:val="start"/>
              <w:rPr/>
            </w:pPr>
            <w:r>
              <w:rPr/>
              <w:t xml:space="preserve">6 </w:t>
            </w:r>
          </w:p>
        </w:tc>
        <w:tc>
          <w:tcPr>
            <w:tcW w:w="5217" w:type="dxa"/>
            <w:tcBorders/>
            <w:vAlign w:val="center"/>
          </w:tcPr>
          <w:p>
            <w:pPr>
              <w:pStyle w:val="TableContents"/>
              <w:bidi w:val="0"/>
              <w:spacing w:before="0" w:after="283"/>
              <w:jc w:val="start"/>
              <w:rPr/>
            </w:pPr>
            <w:r>
              <w:rPr/>
              <w:t xml:space="preserve">Conjugate: Alkaline phosphatase-labeled immune complex (toxoplasma antigen RH sabin strain grown in mice(12)-mouse monoclonal anti-p30antibodies) + 0. 9g/l sodium azide+0. 02%gentamicine (400 µl). </w:t>
            </w:r>
          </w:p>
        </w:tc>
      </w:tr>
      <w:tr>
        <w:trPr/>
        <w:tc>
          <w:tcPr>
            <w:tcW w:w="625" w:type="dxa"/>
            <w:tcBorders/>
            <w:vAlign w:val="center"/>
          </w:tcPr>
          <w:p>
            <w:pPr>
              <w:pStyle w:val="TableContents"/>
              <w:bidi w:val="0"/>
              <w:spacing w:before="0" w:after="283"/>
              <w:jc w:val="start"/>
              <w:rPr/>
            </w:pPr>
            <w:r>
              <w:rPr/>
              <w:t xml:space="preserve">9 </w:t>
            </w:r>
          </w:p>
        </w:tc>
        <w:tc>
          <w:tcPr>
            <w:tcW w:w="5217" w:type="dxa"/>
            <w:tcBorders/>
            <w:vAlign w:val="center"/>
          </w:tcPr>
          <w:p>
            <w:pPr>
              <w:pStyle w:val="TableContents"/>
              <w:bidi w:val="0"/>
              <w:spacing w:before="0" w:after="283"/>
              <w:jc w:val="start"/>
              <w:rPr/>
            </w:pPr>
            <w:r>
              <w:rPr/>
              <w:t xml:space="preserve">Empety well </w:t>
            </w:r>
          </w:p>
        </w:tc>
      </w:tr>
      <w:tr>
        <w:trPr/>
        <w:tc>
          <w:tcPr>
            <w:tcW w:w="625" w:type="dxa"/>
            <w:tcBorders/>
            <w:vAlign w:val="center"/>
          </w:tcPr>
          <w:p>
            <w:pPr>
              <w:pStyle w:val="TableContents"/>
              <w:bidi w:val="0"/>
              <w:spacing w:before="0" w:after="283"/>
              <w:jc w:val="start"/>
              <w:rPr/>
            </w:pPr>
            <w:r>
              <w:rPr/>
              <w:t xml:space="preserve">10 </w:t>
            </w:r>
          </w:p>
        </w:tc>
        <w:tc>
          <w:tcPr>
            <w:tcW w:w="5217" w:type="dxa"/>
            <w:tcBorders/>
            <w:vAlign w:val="center"/>
          </w:tcPr>
          <w:p>
            <w:pPr>
              <w:pStyle w:val="TableContents"/>
              <w:bidi w:val="0"/>
              <w:jc w:val="start"/>
              <w:rPr/>
            </w:pPr>
            <w:r>
              <w:rPr/>
              <w:t xml:space="preserve">Cuvette with substrate: 4-Methyle-umbelliferyl phosphate (0. 6mmol/l)+diethan </w:t>
            </w:r>
          </w:p>
          <w:p>
            <w:pPr>
              <w:pStyle w:val="TableContents"/>
              <w:bidi w:val="0"/>
              <w:spacing w:before="0" w:after="283"/>
              <w:jc w:val="start"/>
              <w:rPr/>
            </w:pPr>
            <w:r>
              <w:rPr/>
              <w:t xml:space="preserve">olamine(DEA) (0. 62mol/l or 6. 6%, PH 9. 2)+1g/l sodium azide (300µl). </w:t>
            </w:r>
          </w:p>
        </w:tc>
      </w:tr>
    </w:tbl>
    <w:p>
      <w:pPr>
        <w:pStyle w:val="Heading4"/>
        <w:bidi w:val="0"/>
        <w:jc w:val="start"/>
        <w:rPr/>
      </w:pPr>
      <w:r>
        <w:rPr/>
        <w:t xml:space="preserve">Procedure </w:t>
      </w:r>
    </w:p>
    <w:p>
      <w:pPr>
        <w:pStyle w:val="TextBody"/>
        <w:bidi w:val="0"/>
        <w:spacing w:before="0" w:after="283"/>
        <w:jc w:val="start"/>
        <w:rPr/>
      </w:pPr>
      <w:r>
        <w:rPr/>
        <w:t xml:space="preserve">The same as procedure of T. Gondii IgG Ab. </w:t>
      </w:r>
    </w:p>
    <w:p>
      <w:pPr>
        <w:pStyle w:val="Heading4"/>
        <w:bidi w:val="0"/>
        <w:jc w:val="start"/>
        <w:rPr/>
      </w:pPr>
      <w:r>
        <w:rPr/>
        <w:t xml:space="preserve">Results and interpretation </w:t>
      </w:r>
    </w:p>
    <w:p>
      <w:pPr>
        <w:pStyle w:val="TextBody"/>
        <w:bidi w:val="0"/>
        <w:spacing w:before="0" w:after="283"/>
        <w:jc w:val="start"/>
        <w:rPr/>
      </w:pPr>
      <w:r>
        <w:rPr/>
        <w:t xml:space="preserve">Once the assay is completed, results are analyzed automatically by the computer fluorescence is measured twice in the Reagent Strip’s reading cuvette for each sample tested. The first reading is a background reading of the substrate cuvette before the SPR introduced into the substrate. The second reading is taken after incubating the substrate with the enzyme remaining on the interior of the SPR. The RFV (relative fluorescence value) is calculated by subtracting the background reading from the final result. This calculation appears on the result sheet. The instrument calculate a test value for each sample (index), which is the ratio between its RFV and that the memorized standard . Interpretation of test result should be made by taking into consideration the patient’s history , and the results of any other tests performed or other IgM assay methods. </w:t>
      </w:r>
    </w:p>
    <w:tbl>
      <w:tblPr>
        <w:tblW w:w="3182" w:type="dxa"/>
        <w:jc w:val="start"/>
        <w:tblInd w:w="0" w:type="dxa"/>
        <w:tblLayout w:type="fixed"/>
        <w:tblCellMar>
          <w:top w:w="28" w:type="dxa"/>
          <w:start w:w="28" w:type="dxa"/>
          <w:bottom w:w="28" w:type="dxa"/>
          <w:end w:w="28" w:type="dxa"/>
        </w:tblCellMar>
      </w:tblPr>
      <w:tblGrid>
        <w:gridCol w:w="1711"/>
        <w:gridCol w:w="1471"/>
      </w:tblGrid>
      <w:tr>
        <w:trPr/>
        <w:tc>
          <w:tcPr>
            <w:tcW w:w="1711" w:type="dxa"/>
            <w:tcBorders/>
            <w:vAlign w:val="center"/>
          </w:tcPr>
          <w:p>
            <w:pPr>
              <w:pStyle w:val="TableContents"/>
              <w:bidi w:val="0"/>
              <w:spacing w:before="0" w:after="283"/>
              <w:jc w:val="start"/>
              <w:rPr/>
            </w:pPr>
            <w:r>
              <w:rPr/>
              <w:t xml:space="preserve">Index </w:t>
            </w:r>
          </w:p>
        </w:tc>
        <w:tc>
          <w:tcPr>
            <w:tcW w:w="1471" w:type="dxa"/>
            <w:tcBorders/>
            <w:vAlign w:val="center"/>
          </w:tcPr>
          <w:p>
            <w:pPr>
              <w:pStyle w:val="TableContents"/>
              <w:bidi w:val="0"/>
              <w:spacing w:before="0" w:after="283"/>
              <w:jc w:val="start"/>
              <w:rPr/>
            </w:pPr>
            <w:r>
              <w:rPr/>
              <w:t xml:space="preserve">Interpretation </w:t>
            </w:r>
          </w:p>
        </w:tc>
      </w:tr>
      <w:tr>
        <w:trPr/>
        <w:tc>
          <w:tcPr>
            <w:tcW w:w="1711" w:type="dxa"/>
            <w:tcBorders/>
            <w:vAlign w:val="center"/>
          </w:tcPr>
          <w:p>
            <w:pPr>
              <w:pStyle w:val="TableContents"/>
              <w:bidi w:val="0"/>
              <w:spacing w:before="0" w:after="283"/>
              <w:jc w:val="start"/>
              <w:rPr/>
            </w:pPr>
            <w:r>
              <w:rPr/>
              <w:t xml:space="preserve">I &lt; 0. 55 </w:t>
            </w:r>
          </w:p>
        </w:tc>
        <w:tc>
          <w:tcPr>
            <w:tcW w:w="1471" w:type="dxa"/>
            <w:tcBorders/>
            <w:vAlign w:val="center"/>
          </w:tcPr>
          <w:p>
            <w:pPr>
              <w:pStyle w:val="TableContents"/>
              <w:bidi w:val="0"/>
              <w:spacing w:before="0" w:after="283"/>
              <w:jc w:val="start"/>
              <w:rPr/>
            </w:pPr>
            <w:r>
              <w:rPr/>
              <w:t xml:space="preserve">Negative </w:t>
            </w:r>
          </w:p>
        </w:tc>
      </w:tr>
      <w:tr>
        <w:trPr/>
        <w:tc>
          <w:tcPr>
            <w:tcW w:w="1711" w:type="dxa"/>
            <w:tcBorders/>
            <w:vAlign w:val="center"/>
          </w:tcPr>
          <w:p>
            <w:pPr>
              <w:pStyle w:val="TableContents"/>
              <w:bidi w:val="0"/>
              <w:spacing w:before="0" w:after="283"/>
              <w:jc w:val="start"/>
              <w:rPr/>
            </w:pPr>
            <w:r>
              <w:rPr/>
              <w:t xml:space="preserve">0. 55 ≤ i &lt; 0. 65 </w:t>
            </w:r>
          </w:p>
        </w:tc>
        <w:tc>
          <w:tcPr>
            <w:tcW w:w="1471" w:type="dxa"/>
            <w:tcBorders/>
            <w:vAlign w:val="center"/>
          </w:tcPr>
          <w:p>
            <w:pPr>
              <w:pStyle w:val="TableContents"/>
              <w:bidi w:val="0"/>
              <w:spacing w:before="0" w:after="283"/>
              <w:jc w:val="start"/>
              <w:rPr/>
            </w:pPr>
            <w:r>
              <w:rPr/>
              <w:t xml:space="preserve">Equivocal </w:t>
            </w:r>
          </w:p>
        </w:tc>
      </w:tr>
      <w:tr>
        <w:trPr/>
        <w:tc>
          <w:tcPr>
            <w:tcW w:w="1711" w:type="dxa"/>
            <w:tcBorders/>
            <w:vAlign w:val="center"/>
          </w:tcPr>
          <w:p>
            <w:pPr>
              <w:pStyle w:val="TableContents"/>
              <w:bidi w:val="0"/>
              <w:spacing w:before="0" w:after="283"/>
              <w:jc w:val="start"/>
              <w:rPr/>
            </w:pPr>
            <w:r>
              <w:rPr/>
              <w:t xml:space="preserve">I ≥0. 65 </w:t>
            </w:r>
          </w:p>
        </w:tc>
        <w:tc>
          <w:tcPr>
            <w:tcW w:w="1471" w:type="dxa"/>
            <w:tcBorders/>
            <w:vAlign w:val="center"/>
          </w:tcPr>
          <w:p>
            <w:pPr>
              <w:pStyle w:val="TableContents"/>
              <w:bidi w:val="0"/>
              <w:spacing w:before="0" w:after="283"/>
              <w:jc w:val="start"/>
              <w:rPr/>
            </w:pPr>
            <w:r>
              <w:rPr/>
              <w:t xml:space="preserve">Positive </w:t>
            </w:r>
          </w:p>
        </w:tc>
      </w:tr>
    </w:tbl>
    <w:p>
      <w:pPr>
        <w:pStyle w:val="TextBody"/>
        <w:bidi w:val="0"/>
        <w:spacing w:before="0" w:after="283"/>
        <w:jc w:val="start"/>
        <w:rPr/>
      </w:pPr>
      <w:r>
        <w:rPr/>
        <w:t xml:space="preserve">3. 4. 3VIDAS Method for the MeasurementAnti CMV IgG antibody: </w:t>
      </w:r>
    </w:p>
    <w:p>
      <w:pPr>
        <w:pStyle w:val="TextBody"/>
        <w:bidi w:val="0"/>
        <w:spacing w:before="0" w:after="283"/>
        <w:jc w:val="start"/>
        <w:rPr/>
      </w:pPr>
      <w:r>
        <w:rPr/>
        <w:t xml:space="preserve">3. 4. 3. 1 principle </w:t>
      </w:r>
    </w:p>
    <w:p>
      <w:pPr>
        <w:pStyle w:val="TextBody"/>
        <w:bidi w:val="0"/>
        <w:spacing w:before="0" w:after="283"/>
        <w:jc w:val="start"/>
        <w:rPr/>
      </w:pPr>
      <w:r>
        <w:rPr/>
        <w:t xml:space="preserve">The same as principle Anti-toxoplasma IgG method . </w:t>
      </w:r>
    </w:p>
    <w:p>
      <w:pPr>
        <w:pStyle w:val="TextBody"/>
        <w:bidi w:val="0"/>
        <w:spacing w:before="0" w:after="283"/>
        <w:jc w:val="start"/>
        <w:rPr/>
      </w:pPr>
      <w:r>
        <w:rPr/>
        <w:t xml:space="preserve">3. 4. 3. 2Content of the kit (60 tests): </w:t>
      </w:r>
    </w:p>
    <w:tbl>
      <w:tblPr>
        <w:tblW w:w="5842" w:type="dxa"/>
        <w:jc w:val="start"/>
        <w:tblInd w:w="0" w:type="dxa"/>
        <w:tblLayout w:type="fixed"/>
        <w:tblCellMar>
          <w:top w:w="28" w:type="dxa"/>
          <w:start w:w="28" w:type="dxa"/>
          <w:bottom w:w="28" w:type="dxa"/>
          <w:end w:w="28" w:type="dxa"/>
        </w:tblCellMar>
      </w:tblPr>
      <w:tblGrid>
        <w:gridCol w:w="3055"/>
        <w:gridCol w:w="961"/>
        <w:gridCol w:w="1826"/>
      </w:tblGrid>
      <w:tr>
        <w:trPr/>
        <w:tc>
          <w:tcPr>
            <w:tcW w:w="3055" w:type="dxa"/>
            <w:tcBorders/>
            <w:vAlign w:val="center"/>
          </w:tcPr>
          <w:p>
            <w:pPr>
              <w:pStyle w:val="TableContents"/>
              <w:bidi w:val="0"/>
              <w:spacing w:before="0" w:after="283"/>
              <w:jc w:val="start"/>
              <w:rPr/>
            </w:pPr>
            <w:r>
              <w:rPr/>
              <w:t xml:space="preserve">Ready-to-use </w:t>
            </w:r>
          </w:p>
        </w:tc>
        <w:tc>
          <w:tcPr>
            <w:tcW w:w="961" w:type="dxa"/>
            <w:tcBorders/>
            <w:vAlign w:val="center"/>
          </w:tcPr>
          <w:p>
            <w:pPr>
              <w:pStyle w:val="TableContents"/>
              <w:bidi w:val="0"/>
              <w:spacing w:before="0" w:after="283"/>
              <w:jc w:val="start"/>
              <w:rPr/>
            </w:pPr>
            <w:r>
              <w:rPr/>
              <w:t xml:space="preserve">STR </w:t>
            </w:r>
          </w:p>
        </w:tc>
        <w:tc>
          <w:tcPr>
            <w:tcW w:w="1826" w:type="dxa"/>
            <w:tcBorders/>
            <w:vAlign w:val="center"/>
          </w:tcPr>
          <w:p>
            <w:pPr>
              <w:pStyle w:val="TableContents"/>
              <w:bidi w:val="0"/>
              <w:spacing w:before="0" w:after="283"/>
              <w:jc w:val="start"/>
              <w:rPr/>
            </w:pPr>
            <w:r>
              <w:rPr/>
              <w:t xml:space="preserve">60 CMVG strips </w:t>
            </w:r>
          </w:p>
        </w:tc>
      </w:tr>
      <w:tr>
        <w:trPr/>
        <w:tc>
          <w:tcPr>
            <w:tcW w:w="3055" w:type="dxa"/>
            <w:tcBorders/>
            <w:vAlign w:val="center"/>
          </w:tcPr>
          <w:p>
            <w:pPr>
              <w:pStyle w:val="TableContents"/>
              <w:bidi w:val="0"/>
              <w:jc w:val="start"/>
              <w:rPr/>
            </w:pPr>
            <w:r>
              <w:rPr/>
              <w:t xml:space="preserve">Ready-to-use. </w:t>
            </w:r>
          </w:p>
          <w:p>
            <w:pPr>
              <w:pStyle w:val="TableContents"/>
              <w:bidi w:val="0"/>
              <w:spacing w:before="0" w:after="283"/>
              <w:jc w:val="start"/>
              <w:rPr/>
            </w:pPr>
            <w:r>
              <w:rPr/>
              <w:t xml:space="preserve">SPRs coated withCMV antigen (strain AD 196) . </w:t>
            </w:r>
          </w:p>
        </w:tc>
        <w:tc>
          <w:tcPr>
            <w:tcW w:w="961" w:type="dxa"/>
            <w:tcBorders/>
            <w:vAlign w:val="center"/>
          </w:tcPr>
          <w:p>
            <w:pPr>
              <w:pStyle w:val="TableContents"/>
              <w:bidi w:val="0"/>
              <w:spacing w:before="0" w:after="283"/>
              <w:jc w:val="start"/>
              <w:rPr/>
            </w:pPr>
            <w:r>
              <w:rPr/>
              <w:t xml:space="preserve">SPR </w:t>
            </w:r>
          </w:p>
        </w:tc>
        <w:tc>
          <w:tcPr>
            <w:tcW w:w="1826" w:type="dxa"/>
            <w:tcBorders/>
            <w:vAlign w:val="center"/>
          </w:tcPr>
          <w:p>
            <w:pPr>
              <w:pStyle w:val="TableContents"/>
              <w:bidi w:val="0"/>
              <w:jc w:val="start"/>
              <w:rPr/>
            </w:pPr>
            <w:r>
              <w:rPr/>
              <w:t xml:space="preserve">60 CMVG SPRs </w:t>
            </w:r>
          </w:p>
          <w:p>
            <w:pPr>
              <w:pStyle w:val="TableContents"/>
              <w:bidi w:val="0"/>
              <w:spacing w:before="0" w:after="283"/>
              <w:jc w:val="start"/>
              <w:rPr/>
            </w:pPr>
            <w:r>
              <w:rPr/>
              <w:t xml:space="preserve">2X30 </w:t>
            </w:r>
          </w:p>
        </w:tc>
      </w:tr>
      <w:tr>
        <w:trPr/>
        <w:tc>
          <w:tcPr>
            <w:tcW w:w="3055" w:type="dxa"/>
            <w:tcBorders/>
            <w:vAlign w:val="center"/>
          </w:tcPr>
          <w:p>
            <w:pPr>
              <w:pStyle w:val="TableContents"/>
              <w:bidi w:val="0"/>
              <w:jc w:val="start"/>
              <w:rPr/>
            </w:pPr>
            <w:r>
              <w:rPr/>
              <w:t xml:space="preserve">Human serum* containing anti-CMV IgG + 1 gl sodium azide. </w:t>
            </w:r>
          </w:p>
          <w:p>
            <w:pPr>
              <w:pStyle w:val="TableContents"/>
              <w:bidi w:val="0"/>
              <w:spacing w:before="0" w:after="283"/>
              <w:jc w:val="start"/>
              <w:rPr/>
            </w:pPr>
            <w:r>
              <w:rPr/>
              <w:t xml:space="preserve">Titer in arbitrary unit /ml(aU/ml) : confidence interval is indicated on the MLE card after the following mention “ control C1 (+) dose value range”. </w:t>
            </w:r>
          </w:p>
        </w:tc>
        <w:tc>
          <w:tcPr>
            <w:tcW w:w="961" w:type="dxa"/>
            <w:tcBorders/>
            <w:vAlign w:val="center"/>
          </w:tcPr>
          <w:p>
            <w:pPr>
              <w:pStyle w:val="TableContents"/>
              <w:bidi w:val="0"/>
              <w:spacing w:before="0" w:after="283"/>
              <w:jc w:val="start"/>
              <w:rPr/>
            </w:pPr>
            <w:r>
              <w:rPr/>
              <w:t xml:space="preserve">C1 </w:t>
            </w:r>
          </w:p>
        </w:tc>
        <w:tc>
          <w:tcPr>
            <w:tcW w:w="1826" w:type="dxa"/>
            <w:tcBorders/>
            <w:vAlign w:val="center"/>
          </w:tcPr>
          <w:p>
            <w:pPr>
              <w:pStyle w:val="TableContents"/>
              <w:bidi w:val="0"/>
              <w:jc w:val="start"/>
              <w:rPr/>
            </w:pPr>
            <w:r>
              <w:rPr/>
              <w:t xml:space="preserve">CMVG positive control </w:t>
            </w:r>
          </w:p>
          <w:p>
            <w:pPr>
              <w:pStyle w:val="TableContents"/>
              <w:bidi w:val="0"/>
              <w:spacing w:before="0" w:after="283"/>
              <w:jc w:val="start"/>
              <w:rPr/>
            </w:pPr>
            <w:r>
              <w:rPr/>
              <w:t xml:space="preserve">1X1. 5 ml (liquid) </w:t>
            </w:r>
          </w:p>
        </w:tc>
      </w:tr>
      <w:tr>
        <w:trPr/>
        <w:tc>
          <w:tcPr>
            <w:tcW w:w="3055" w:type="dxa"/>
            <w:tcBorders/>
            <w:vAlign w:val="center"/>
          </w:tcPr>
          <w:p>
            <w:pPr>
              <w:pStyle w:val="TableContents"/>
              <w:bidi w:val="0"/>
              <w:spacing w:before="0" w:after="283"/>
              <w:jc w:val="start"/>
              <w:rPr/>
            </w:pPr>
            <w:r>
              <w:rPr/>
              <w:t xml:space="preserve">Human serum not containing anti-CMV IgG + 1 gl sodium azide. </w:t>
            </w:r>
          </w:p>
        </w:tc>
        <w:tc>
          <w:tcPr>
            <w:tcW w:w="961" w:type="dxa"/>
            <w:tcBorders/>
            <w:vAlign w:val="center"/>
          </w:tcPr>
          <w:p>
            <w:pPr>
              <w:pStyle w:val="TableContents"/>
              <w:bidi w:val="0"/>
              <w:spacing w:before="0" w:after="283"/>
              <w:jc w:val="start"/>
              <w:rPr/>
            </w:pPr>
            <w:r>
              <w:rPr/>
              <w:t xml:space="preserve">C2 </w:t>
            </w:r>
          </w:p>
        </w:tc>
        <w:tc>
          <w:tcPr>
            <w:tcW w:w="1826" w:type="dxa"/>
            <w:tcBorders/>
            <w:vAlign w:val="center"/>
          </w:tcPr>
          <w:p>
            <w:pPr>
              <w:pStyle w:val="TableContents"/>
              <w:bidi w:val="0"/>
              <w:jc w:val="start"/>
              <w:rPr/>
            </w:pPr>
            <w:r>
              <w:rPr/>
              <w:t xml:space="preserve">CMVG negative control </w:t>
            </w:r>
          </w:p>
          <w:p>
            <w:pPr>
              <w:pStyle w:val="TableContents"/>
              <w:bidi w:val="0"/>
              <w:spacing w:before="0" w:after="283"/>
              <w:jc w:val="start"/>
              <w:rPr/>
            </w:pPr>
            <w:r>
              <w:rPr/>
              <w:t xml:space="preserve">1X1. 5 ml (liquid) </w:t>
            </w:r>
          </w:p>
        </w:tc>
      </w:tr>
      <w:tr>
        <w:trPr/>
        <w:tc>
          <w:tcPr>
            <w:tcW w:w="3055" w:type="dxa"/>
            <w:tcBorders/>
            <w:vAlign w:val="center"/>
          </w:tcPr>
          <w:p>
            <w:pPr>
              <w:pStyle w:val="TableContents"/>
              <w:bidi w:val="0"/>
              <w:jc w:val="start"/>
              <w:rPr/>
            </w:pPr>
            <w:r>
              <w:rPr/>
              <w:t xml:space="preserve">Human serum* containing anti-CMV IgG + 1 gl sodium azide. </w:t>
            </w:r>
          </w:p>
          <w:p>
            <w:pPr>
              <w:pStyle w:val="TableContents"/>
              <w:bidi w:val="0"/>
              <w:spacing w:before="0" w:after="283"/>
              <w:jc w:val="start"/>
              <w:rPr/>
            </w:pPr>
            <w:r>
              <w:rPr/>
              <w:t xml:space="preserve">Titer in arbitrary unitml indicated on the MLE card after the following mention: “ calibrator (S1) dose value”. The confidence interval in “ Relative fluorescence value” is indicated on MLE card after the following mention: ” calibrator (S1) RFV Rang. </w:t>
            </w:r>
          </w:p>
        </w:tc>
        <w:tc>
          <w:tcPr>
            <w:tcW w:w="961" w:type="dxa"/>
            <w:tcBorders/>
            <w:vAlign w:val="center"/>
          </w:tcPr>
          <w:p>
            <w:pPr>
              <w:pStyle w:val="TableContents"/>
              <w:bidi w:val="0"/>
              <w:spacing w:before="0" w:after="283"/>
              <w:jc w:val="start"/>
              <w:rPr/>
            </w:pPr>
            <w:r>
              <w:rPr/>
              <w:t xml:space="preserve">S1 </w:t>
            </w:r>
          </w:p>
        </w:tc>
        <w:tc>
          <w:tcPr>
            <w:tcW w:w="1826" w:type="dxa"/>
            <w:tcBorders/>
            <w:vAlign w:val="center"/>
          </w:tcPr>
          <w:p>
            <w:pPr>
              <w:pStyle w:val="TableContents"/>
              <w:bidi w:val="0"/>
              <w:jc w:val="start"/>
              <w:rPr/>
            </w:pPr>
            <w:r>
              <w:rPr/>
              <w:t xml:space="preserve">CMVGcalibrator </w:t>
            </w:r>
          </w:p>
          <w:p>
            <w:pPr>
              <w:pStyle w:val="TableContents"/>
              <w:bidi w:val="0"/>
              <w:spacing w:before="0" w:after="283"/>
              <w:jc w:val="start"/>
              <w:rPr/>
            </w:pPr>
            <w:r>
              <w:rPr/>
              <w:t xml:space="preserve">1X2 ml (liquid). </w:t>
            </w:r>
          </w:p>
        </w:tc>
      </w:tr>
      <w:tr>
        <w:trPr/>
        <w:tc>
          <w:tcPr>
            <w:tcW w:w="3055" w:type="dxa"/>
            <w:tcBorders/>
            <w:vAlign w:val="center"/>
          </w:tcPr>
          <w:p>
            <w:pPr>
              <w:pStyle w:val="TableContents"/>
              <w:bidi w:val="0"/>
              <w:spacing w:before="0" w:after="283"/>
              <w:jc w:val="start"/>
              <w:rPr/>
            </w:pPr>
            <w:r>
              <w:rPr/>
              <w:t xml:space="preserve">Specification for the factory master data required two calibrate the test : to read MLE data. </w:t>
            </w:r>
          </w:p>
        </w:tc>
        <w:tc>
          <w:tcPr>
            <w:tcW w:w="961" w:type="dxa"/>
            <w:tcBorders/>
            <w:vAlign w:val="center"/>
          </w:tcPr>
          <w:p>
            <w:pPr>
              <w:pStyle w:val="TableContents"/>
              <w:bidi w:val="0"/>
              <w:spacing w:before="0" w:after="283"/>
              <w:jc w:val="start"/>
              <w:rPr/>
            </w:pPr>
            <w:r>
              <w:rPr/>
              <w:t xml:space="preserve">1 MLE card (master lot entery) </w:t>
            </w:r>
          </w:p>
        </w:tc>
        <w:tc>
          <w:tcPr>
            <w:tcW w:w="1826" w:type="dxa"/>
            <w:tcBorders/>
          </w:tcPr>
          <w:p>
            <w:pPr>
              <w:pStyle w:val="TableContents"/>
              <w:bidi w:val="0"/>
              <w:spacing w:before="0" w:after="283"/>
              <w:jc w:val="start"/>
              <w:rPr>
                <w:sz w:val="4"/>
                <w:szCs w:val="4"/>
              </w:rPr>
            </w:pPr>
            <w:r>
              <w:rPr>
                <w:sz w:val="4"/>
                <w:szCs w:val="4"/>
              </w:rPr>
            </w:r>
          </w:p>
        </w:tc>
      </w:tr>
      <w:tr>
        <w:trPr/>
        <w:tc>
          <w:tcPr>
            <w:tcW w:w="3055" w:type="dxa"/>
            <w:tcBorders/>
            <w:vAlign w:val="center"/>
          </w:tcPr>
          <w:p>
            <w:pPr>
              <w:pStyle w:val="TableContents"/>
              <w:bidi w:val="0"/>
              <w:spacing w:before="0" w:after="283"/>
              <w:jc w:val="start"/>
              <w:rPr/>
            </w:pPr>
            <w:r>
              <w:rPr/>
              <w:t xml:space="preserve">1 package insert </w:t>
            </w:r>
          </w:p>
        </w:tc>
        <w:tc>
          <w:tcPr>
            <w:tcW w:w="2787" w:type="dxa"/>
            <w:gridSpan w:val="2"/>
            <w:tcBorders/>
          </w:tcPr>
          <w:p>
            <w:pPr>
              <w:pStyle w:val="TableContents"/>
              <w:bidi w:val="0"/>
              <w:spacing w:before="0" w:after="283"/>
              <w:jc w:val="start"/>
              <w:rPr>
                <w:sz w:val="4"/>
                <w:szCs w:val="4"/>
              </w:rPr>
            </w:pPr>
            <w:r>
              <w:rPr>
                <w:sz w:val="4"/>
                <w:szCs w:val="4"/>
              </w:rPr>
            </w:r>
          </w:p>
        </w:tc>
      </w:tr>
    </w:tbl>
    <w:p>
      <w:pPr>
        <w:pStyle w:val="Heading4"/>
        <w:bidi w:val="0"/>
        <w:jc w:val="start"/>
        <w:rPr/>
      </w:pPr>
      <w:r>
        <w:rPr/>
        <w:t xml:space="preserve">The solid phase receptacle (SPR) </w:t>
      </w:r>
    </w:p>
    <w:p>
      <w:pPr>
        <w:pStyle w:val="TextBody"/>
        <w:bidi w:val="0"/>
        <w:spacing w:before="0" w:after="283"/>
        <w:jc w:val="start"/>
        <w:rPr/>
      </w:pPr>
      <w:r>
        <w:rPr/>
        <w:t xml:space="preserve">The interior of the SPR is coated during production With purified CMV antigen. Each SPR is identified by CMVG code. </w:t>
      </w:r>
    </w:p>
    <w:p>
      <w:pPr>
        <w:pStyle w:val="Heading4"/>
        <w:bidi w:val="0"/>
        <w:jc w:val="start"/>
        <w:rPr/>
      </w:pPr>
      <w:r>
        <w:rPr/>
        <w:t xml:space="preserve">The reagent strips </w:t>
      </w:r>
    </w:p>
    <w:p>
      <w:pPr>
        <w:pStyle w:val="TextBody"/>
        <w:bidi w:val="0"/>
        <w:spacing w:before="0" w:after="283"/>
        <w:jc w:val="start"/>
        <w:rPr/>
      </w:pPr>
      <w:r>
        <w:rPr/>
        <w:t xml:space="preserve">The same as reagent strip of the anti- toxo IgG that explained previously. </w:t>
      </w:r>
    </w:p>
    <w:p>
      <w:pPr>
        <w:pStyle w:val="Heading4"/>
        <w:bidi w:val="0"/>
        <w:jc w:val="start"/>
        <w:rPr/>
      </w:pPr>
      <w:r>
        <w:rPr/>
        <w:t xml:space="preserve">Description of the CMVG strip </w:t>
      </w:r>
    </w:p>
    <w:tbl>
      <w:tblPr>
        <w:tblW w:w="5842" w:type="dxa"/>
        <w:jc w:val="start"/>
        <w:tblInd w:w="0" w:type="dxa"/>
        <w:tblLayout w:type="fixed"/>
        <w:tblCellMar>
          <w:top w:w="28" w:type="dxa"/>
          <w:start w:w="28" w:type="dxa"/>
          <w:bottom w:w="28" w:type="dxa"/>
          <w:end w:w="28" w:type="dxa"/>
        </w:tblCellMar>
      </w:tblPr>
      <w:tblGrid>
        <w:gridCol w:w="647"/>
        <w:gridCol w:w="5195"/>
      </w:tblGrid>
      <w:tr>
        <w:trPr/>
        <w:tc>
          <w:tcPr>
            <w:tcW w:w="647" w:type="dxa"/>
            <w:tcBorders/>
            <w:vAlign w:val="center"/>
          </w:tcPr>
          <w:p>
            <w:pPr>
              <w:pStyle w:val="TableContents"/>
              <w:bidi w:val="0"/>
              <w:spacing w:before="0" w:after="283"/>
              <w:jc w:val="start"/>
              <w:rPr/>
            </w:pPr>
            <w:r>
              <w:rPr/>
              <w:t xml:space="preserve">Well </w:t>
            </w:r>
          </w:p>
        </w:tc>
        <w:tc>
          <w:tcPr>
            <w:tcW w:w="5195" w:type="dxa"/>
            <w:tcBorders/>
            <w:vAlign w:val="center"/>
          </w:tcPr>
          <w:p>
            <w:pPr>
              <w:pStyle w:val="TableContents"/>
              <w:bidi w:val="0"/>
              <w:spacing w:before="0" w:after="283"/>
              <w:jc w:val="start"/>
              <w:rPr/>
            </w:pPr>
            <w:r>
              <w:rPr/>
              <w:t xml:space="preserve">Reagents </w:t>
            </w:r>
          </w:p>
        </w:tc>
      </w:tr>
      <w:tr>
        <w:trPr/>
        <w:tc>
          <w:tcPr>
            <w:tcW w:w="647" w:type="dxa"/>
            <w:tcBorders/>
            <w:vAlign w:val="center"/>
          </w:tcPr>
          <w:p>
            <w:pPr>
              <w:pStyle w:val="TableContents"/>
              <w:bidi w:val="0"/>
              <w:spacing w:before="0" w:after="283"/>
              <w:jc w:val="start"/>
              <w:rPr/>
            </w:pPr>
            <w:r>
              <w:rPr/>
              <w:t xml:space="preserve">1 </w:t>
            </w:r>
          </w:p>
        </w:tc>
        <w:tc>
          <w:tcPr>
            <w:tcW w:w="5195" w:type="dxa"/>
            <w:tcBorders/>
            <w:vAlign w:val="center"/>
          </w:tcPr>
          <w:p>
            <w:pPr>
              <w:pStyle w:val="TableContents"/>
              <w:bidi w:val="0"/>
              <w:spacing w:before="0" w:after="283"/>
              <w:jc w:val="start"/>
              <w:rPr/>
            </w:pPr>
            <w:r>
              <w:rPr/>
              <w:t xml:space="preserve">Sampel well. </w:t>
            </w:r>
          </w:p>
        </w:tc>
      </w:tr>
      <w:tr>
        <w:trPr/>
        <w:tc>
          <w:tcPr>
            <w:tcW w:w="647" w:type="dxa"/>
            <w:tcBorders/>
            <w:vAlign w:val="center"/>
          </w:tcPr>
          <w:p>
            <w:pPr>
              <w:pStyle w:val="TableContents"/>
              <w:bidi w:val="0"/>
              <w:spacing w:before="0" w:after="283"/>
              <w:jc w:val="start"/>
              <w:rPr/>
            </w:pPr>
            <w:r>
              <w:rPr/>
              <w:t xml:space="preserve">2 </w:t>
            </w:r>
          </w:p>
        </w:tc>
        <w:tc>
          <w:tcPr>
            <w:tcW w:w="5195" w:type="dxa"/>
            <w:tcBorders/>
            <w:vAlign w:val="center"/>
          </w:tcPr>
          <w:p>
            <w:pPr>
              <w:pStyle w:val="TableContents"/>
              <w:bidi w:val="0"/>
              <w:spacing w:before="0" w:after="283"/>
              <w:jc w:val="start"/>
              <w:rPr/>
            </w:pPr>
            <w:r>
              <w:rPr/>
              <w:t xml:space="preserve">sample diluents: phosphate buffer (10mmol/l) PH 7. 2-Tween +protein and chemical stabilizer+ (300µl). </w:t>
            </w:r>
          </w:p>
        </w:tc>
      </w:tr>
      <w:tr>
        <w:trPr/>
        <w:tc>
          <w:tcPr>
            <w:tcW w:w="647" w:type="dxa"/>
            <w:tcBorders/>
            <w:vAlign w:val="center"/>
          </w:tcPr>
          <w:p>
            <w:pPr>
              <w:pStyle w:val="TableContents"/>
              <w:bidi w:val="0"/>
              <w:spacing w:before="0" w:after="283"/>
              <w:jc w:val="start"/>
              <w:rPr/>
            </w:pPr>
            <w:r>
              <w:rPr/>
              <w:t xml:space="preserve">3 </w:t>
            </w:r>
          </w:p>
        </w:tc>
        <w:tc>
          <w:tcPr>
            <w:tcW w:w="5195" w:type="dxa"/>
            <w:tcBorders/>
            <w:vAlign w:val="center"/>
          </w:tcPr>
          <w:p>
            <w:pPr>
              <w:pStyle w:val="TableContents"/>
              <w:bidi w:val="0"/>
              <w:spacing w:before="0" w:after="283"/>
              <w:jc w:val="start"/>
              <w:rPr/>
            </w:pPr>
            <w:r>
              <w:rPr/>
              <w:t xml:space="preserve">Pre-wash buffer: phosphate buffer (10mmol/l) PH 7. 2-Tween +protein and chemical stabilizer+1g/l sodium azide (600µl). </w:t>
            </w:r>
          </w:p>
        </w:tc>
      </w:tr>
      <w:tr>
        <w:trPr/>
        <w:tc>
          <w:tcPr>
            <w:tcW w:w="647" w:type="dxa"/>
            <w:tcBorders/>
            <w:vAlign w:val="center"/>
          </w:tcPr>
          <w:p>
            <w:pPr>
              <w:pStyle w:val="TableContents"/>
              <w:bidi w:val="0"/>
              <w:spacing w:before="0" w:after="283"/>
              <w:jc w:val="start"/>
              <w:rPr/>
            </w:pPr>
            <w:r>
              <w:rPr/>
              <w:t xml:space="preserve">4-5-7-8 </w:t>
            </w:r>
          </w:p>
        </w:tc>
        <w:tc>
          <w:tcPr>
            <w:tcW w:w="5195" w:type="dxa"/>
            <w:tcBorders/>
            <w:vAlign w:val="center"/>
          </w:tcPr>
          <w:p>
            <w:pPr>
              <w:pStyle w:val="TableContents"/>
              <w:bidi w:val="0"/>
              <w:spacing w:before="0" w:after="283"/>
              <w:jc w:val="start"/>
              <w:rPr/>
            </w:pPr>
            <w:r>
              <w:rPr/>
              <w:t xml:space="preserve">Wash solution: TRIS buffer (50mmol/l) PH 7. 4 +0. 9 g/l sodium azide (600µl). </w:t>
            </w:r>
          </w:p>
        </w:tc>
      </w:tr>
      <w:tr>
        <w:trPr/>
        <w:tc>
          <w:tcPr>
            <w:tcW w:w="647" w:type="dxa"/>
            <w:tcBorders/>
            <w:vAlign w:val="center"/>
          </w:tcPr>
          <w:p>
            <w:pPr>
              <w:pStyle w:val="TableContents"/>
              <w:bidi w:val="0"/>
              <w:spacing w:before="0" w:after="283"/>
              <w:jc w:val="start"/>
              <w:rPr/>
            </w:pPr>
            <w:r>
              <w:rPr/>
              <w:t xml:space="preserve">6 </w:t>
            </w:r>
          </w:p>
        </w:tc>
        <w:tc>
          <w:tcPr>
            <w:tcW w:w="5195" w:type="dxa"/>
            <w:tcBorders/>
            <w:vAlign w:val="center"/>
          </w:tcPr>
          <w:p>
            <w:pPr>
              <w:pStyle w:val="TableContents"/>
              <w:bidi w:val="0"/>
              <w:spacing w:before="0" w:after="283"/>
              <w:jc w:val="start"/>
              <w:rPr/>
            </w:pPr>
            <w:r>
              <w:rPr/>
              <w:t xml:space="preserve">Conjugate: Alkaline phosphatase-labeled monoclonal anti-human IgG antibodies (mouse) + 1g/l sodium azide (400 µl). </w:t>
            </w:r>
          </w:p>
        </w:tc>
      </w:tr>
      <w:tr>
        <w:trPr/>
        <w:tc>
          <w:tcPr>
            <w:tcW w:w="647" w:type="dxa"/>
            <w:tcBorders/>
            <w:vAlign w:val="center"/>
          </w:tcPr>
          <w:p>
            <w:pPr>
              <w:pStyle w:val="TableContents"/>
              <w:bidi w:val="0"/>
              <w:spacing w:before="0" w:after="283"/>
              <w:jc w:val="start"/>
              <w:rPr/>
            </w:pPr>
            <w:r>
              <w:rPr/>
              <w:t xml:space="preserve">9 </w:t>
            </w:r>
          </w:p>
        </w:tc>
        <w:tc>
          <w:tcPr>
            <w:tcW w:w="5195" w:type="dxa"/>
            <w:tcBorders/>
            <w:vAlign w:val="center"/>
          </w:tcPr>
          <w:p>
            <w:pPr>
              <w:pStyle w:val="TableContents"/>
              <w:bidi w:val="0"/>
              <w:spacing w:before="0" w:after="283"/>
              <w:jc w:val="start"/>
              <w:rPr/>
            </w:pPr>
            <w:r>
              <w:rPr/>
              <w:t xml:space="preserve">Empety well </w:t>
            </w:r>
          </w:p>
        </w:tc>
      </w:tr>
      <w:tr>
        <w:trPr/>
        <w:tc>
          <w:tcPr>
            <w:tcW w:w="647" w:type="dxa"/>
            <w:tcBorders/>
            <w:vAlign w:val="center"/>
          </w:tcPr>
          <w:p>
            <w:pPr>
              <w:pStyle w:val="TableContents"/>
              <w:bidi w:val="0"/>
              <w:spacing w:before="0" w:after="283"/>
              <w:jc w:val="start"/>
              <w:rPr/>
            </w:pPr>
            <w:r>
              <w:rPr/>
              <w:t xml:space="preserve">10 </w:t>
            </w:r>
          </w:p>
        </w:tc>
        <w:tc>
          <w:tcPr>
            <w:tcW w:w="5195" w:type="dxa"/>
            <w:tcBorders/>
            <w:vAlign w:val="center"/>
          </w:tcPr>
          <w:p>
            <w:pPr>
              <w:pStyle w:val="TableContents"/>
              <w:bidi w:val="0"/>
              <w:spacing w:before="0" w:after="283"/>
              <w:jc w:val="start"/>
              <w:rPr/>
            </w:pPr>
            <w:r>
              <w:rPr/>
              <w:t xml:space="preserve">Cuvette with substrate: 4-Methyle-umbelliferyl phosphate (0. 6mmol/l)+diethanolamine(DEA) (0. 62mol/l or 6. 6%, PH 9. 2)+1g/l sodium azide (300µl). </w:t>
            </w:r>
          </w:p>
        </w:tc>
      </w:tr>
    </w:tbl>
    <w:p>
      <w:pPr>
        <w:pStyle w:val="Heading4"/>
        <w:bidi w:val="0"/>
        <w:jc w:val="start"/>
        <w:rPr/>
      </w:pPr>
      <w:r>
        <w:rPr/>
        <w:t xml:space="preserve">Procedure </w:t>
      </w:r>
    </w:p>
    <w:p>
      <w:pPr>
        <w:pStyle w:val="TextBody"/>
        <w:bidi w:val="0"/>
        <w:spacing w:before="0" w:after="283"/>
        <w:jc w:val="start"/>
        <w:rPr/>
      </w:pPr>
      <w:r>
        <w:rPr/>
        <w:t xml:space="preserve">The same as procedure of T. Gondii IgG Ab. </w:t>
      </w:r>
    </w:p>
    <w:p>
      <w:pPr>
        <w:pStyle w:val="Heading4"/>
        <w:bidi w:val="0"/>
        <w:jc w:val="start"/>
        <w:rPr/>
      </w:pPr>
      <w:r>
        <w:rPr/>
        <w:t xml:space="preserve">Results and interpretation </w:t>
      </w:r>
    </w:p>
    <w:p>
      <w:pPr>
        <w:pStyle w:val="TextBody"/>
        <w:bidi w:val="0"/>
        <w:spacing w:before="0" w:after="283"/>
        <w:jc w:val="start"/>
        <w:rPr/>
      </w:pPr>
      <w:r>
        <w:rPr/>
        <w:t xml:space="preserve">The results measured as the same as method to Toxo-IgG Ab that explained previously. But if the sample with anti-CMV &gt; 400 aU/ml should be re- assayed after dilution by 1/4 in saline solution . if the dilution factor has not been entered when the work list was created , multiply the result by dilution factor to obtain the sample concentration. </w:t>
      </w:r>
    </w:p>
    <w:p>
      <w:pPr>
        <w:pStyle w:val="Heading3"/>
        <w:bidi w:val="0"/>
        <w:jc w:val="start"/>
        <w:rPr/>
      </w:pPr>
      <w:r>
        <w:rPr/>
        <w:t xml:space="preserve">Thresholds and interpretation of results </w:t>
      </w:r>
    </w:p>
    <w:tbl>
      <w:tblPr>
        <w:tblW w:w="2927" w:type="dxa"/>
        <w:jc w:val="start"/>
        <w:tblInd w:w="0" w:type="dxa"/>
        <w:tblLayout w:type="fixed"/>
        <w:tblCellMar>
          <w:top w:w="28" w:type="dxa"/>
          <w:start w:w="28" w:type="dxa"/>
          <w:bottom w:w="28" w:type="dxa"/>
          <w:end w:w="28" w:type="dxa"/>
        </w:tblCellMar>
      </w:tblPr>
      <w:tblGrid>
        <w:gridCol w:w="1456"/>
        <w:gridCol w:w="1471"/>
      </w:tblGrid>
      <w:tr>
        <w:trPr/>
        <w:tc>
          <w:tcPr>
            <w:tcW w:w="1456" w:type="dxa"/>
            <w:tcBorders/>
            <w:vAlign w:val="center"/>
          </w:tcPr>
          <w:p>
            <w:pPr>
              <w:pStyle w:val="TableContents"/>
              <w:bidi w:val="0"/>
              <w:spacing w:before="0" w:after="283"/>
              <w:jc w:val="start"/>
              <w:rPr/>
            </w:pPr>
            <w:r>
              <w:rPr/>
              <w:t xml:space="preserve">value (IU/ml) </w:t>
            </w:r>
          </w:p>
        </w:tc>
        <w:tc>
          <w:tcPr>
            <w:tcW w:w="1471" w:type="dxa"/>
            <w:tcBorders/>
            <w:vAlign w:val="center"/>
          </w:tcPr>
          <w:p>
            <w:pPr>
              <w:pStyle w:val="TableContents"/>
              <w:bidi w:val="0"/>
              <w:spacing w:before="0" w:after="283"/>
              <w:jc w:val="start"/>
              <w:rPr/>
            </w:pPr>
            <w:r>
              <w:rPr/>
              <w:t xml:space="preserve">Interpretation </w:t>
            </w:r>
          </w:p>
        </w:tc>
      </w:tr>
      <w:tr>
        <w:trPr/>
        <w:tc>
          <w:tcPr>
            <w:tcW w:w="1456" w:type="dxa"/>
            <w:tcBorders/>
            <w:vAlign w:val="center"/>
          </w:tcPr>
          <w:p>
            <w:pPr>
              <w:pStyle w:val="TableContents"/>
              <w:bidi w:val="0"/>
              <w:spacing w:before="0" w:after="283"/>
              <w:jc w:val="start"/>
              <w:rPr/>
            </w:pPr>
            <w:r>
              <w:rPr/>
              <w:t xml:space="preserve">&lt; 4 </w:t>
            </w:r>
          </w:p>
        </w:tc>
        <w:tc>
          <w:tcPr>
            <w:tcW w:w="1471" w:type="dxa"/>
            <w:tcBorders/>
            <w:vAlign w:val="center"/>
          </w:tcPr>
          <w:p>
            <w:pPr>
              <w:pStyle w:val="TableContents"/>
              <w:bidi w:val="0"/>
              <w:spacing w:before="0" w:after="283"/>
              <w:jc w:val="start"/>
              <w:rPr/>
            </w:pPr>
            <w:r>
              <w:rPr/>
              <w:t xml:space="preserve">Negative </w:t>
            </w:r>
          </w:p>
        </w:tc>
      </w:tr>
      <w:tr>
        <w:trPr/>
        <w:tc>
          <w:tcPr>
            <w:tcW w:w="1456" w:type="dxa"/>
            <w:tcBorders/>
            <w:vAlign w:val="center"/>
          </w:tcPr>
          <w:p>
            <w:pPr>
              <w:pStyle w:val="TableContents"/>
              <w:bidi w:val="0"/>
              <w:spacing w:before="0" w:after="283"/>
              <w:jc w:val="start"/>
              <w:rPr/>
            </w:pPr>
            <w:r>
              <w:rPr/>
              <w:t xml:space="preserve">From ≥ 4 &lt; 6 </w:t>
            </w:r>
          </w:p>
        </w:tc>
        <w:tc>
          <w:tcPr>
            <w:tcW w:w="1471" w:type="dxa"/>
            <w:tcBorders/>
            <w:vAlign w:val="center"/>
          </w:tcPr>
          <w:p>
            <w:pPr>
              <w:pStyle w:val="TableContents"/>
              <w:bidi w:val="0"/>
              <w:spacing w:before="0" w:after="283"/>
              <w:jc w:val="start"/>
              <w:rPr/>
            </w:pPr>
            <w:r>
              <w:rPr/>
              <w:t xml:space="preserve">Equivocal </w:t>
            </w:r>
          </w:p>
        </w:tc>
      </w:tr>
      <w:tr>
        <w:trPr/>
        <w:tc>
          <w:tcPr>
            <w:tcW w:w="1456" w:type="dxa"/>
            <w:tcBorders/>
            <w:vAlign w:val="center"/>
          </w:tcPr>
          <w:p>
            <w:pPr>
              <w:pStyle w:val="TableContents"/>
              <w:bidi w:val="0"/>
              <w:spacing w:before="0" w:after="283"/>
              <w:jc w:val="start"/>
              <w:rPr/>
            </w:pPr>
            <w:r>
              <w:rPr/>
              <w:t xml:space="preserve">≥ </w:t>
            </w:r>
            <w:r>
              <w:rPr/>
              <w:t xml:space="preserve">6 </w:t>
            </w:r>
          </w:p>
        </w:tc>
        <w:tc>
          <w:tcPr>
            <w:tcW w:w="1471" w:type="dxa"/>
            <w:tcBorders/>
            <w:vAlign w:val="center"/>
          </w:tcPr>
          <w:p>
            <w:pPr>
              <w:pStyle w:val="TableContents"/>
              <w:bidi w:val="0"/>
              <w:spacing w:before="0" w:after="283"/>
              <w:jc w:val="start"/>
              <w:rPr/>
            </w:pPr>
            <w:r>
              <w:rPr/>
              <w:t xml:space="preserve">Positive </w:t>
            </w:r>
          </w:p>
        </w:tc>
      </w:tr>
    </w:tbl>
    <w:p>
      <w:pPr>
        <w:pStyle w:val="Heading3"/>
        <w:bidi w:val="0"/>
        <w:jc w:val="start"/>
        <w:rPr/>
      </w:pPr>
      <w:r>
        <w:rPr/>
        <w:t xml:space="preserve">VIDAS Method for the Measurement Anti-CMV IgM antibody: </w:t>
      </w:r>
    </w:p>
    <w:p>
      <w:pPr>
        <w:pStyle w:val="Heading4"/>
        <w:bidi w:val="0"/>
        <w:jc w:val="start"/>
        <w:rPr/>
      </w:pPr>
      <w:r>
        <w:rPr/>
        <w:t xml:space="preserve">Principle: </w:t>
      </w:r>
    </w:p>
    <w:p>
      <w:pPr>
        <w:pStyle w:val="TextBody"/>
        <w:bidi w:val="0"/>
        <w:spacing w:before="0" w:after="283"/>
        <w:jc w:val="start"/>
        <w:rPr/>
      </w:pPr>
      <w:r>
        <w:rPr/>
        <w:t xml:space="preserve">The assay principle a two-step enzyme immune assay sandwich methods with a final fluorescent detection (ELFA). The solid phase Receptacle (SPR) has been used as the solid phase as well as pipetting device for the assay. Reagent for the assay have been ready-to-used and pre-dispensed in the sealed reagent strips. The assay steps have been performed automatically by the instrument. The reaction medium is cycled in and out of the SPR several times. After IgG and rheumatoid factor adsorption , the sample is cycled in and out the SPR for a specified length of time. Anti-CMV IgM antibodies present in the spacemen will bind to the CMV antigen coating the anterior of the SPR. Unbound component are eliminated during the washing steps. An alkaline phosphatase-labeled mouse monoclonal anti-human IgM antibody is cycled in and out of SPR. A final wash step removes unbound component. During the final detection step, the substrate (4- Methyl-umbelliferyl phosphate) is cycled and out of the SPR. The conjugate enzyme catalyzes the hydrolysis of this substrate into a fluorescent product (4- Methyl-umbellefrone) the fluorescent of which is measured at 450 nm. The intensity of the fluorescence of which is proportional to the concentration of antibodies present in the sample. At the end of the assay, result are automatically calculated by the instrument in relation to the calibration curve stored in memory, and then printed out[238 , 239 and 240] . </w:t>
      </w:r>
    </w:p>
    <w:p>
      <w:pPr>
        <w:pStyle w:val="TextBody"/>
        <w:bidi w:val="0"/>
        <w:spacing w:before="0" w:after="283"/>
        <w:jc w:val="start"/>
        <w:rPr/>
      </w:pPr>
      <w:r>
        <w:rPr/>
        <w:t xml:space="preserve">Content of the kit (30 tests): 3. 4. 4. 2 </w:t>
      </w:r>
    </w:p>
    <w:tbl>
      <w:tblPr>
        <w:tblW w:w="5842" w:type="dxa"/>
        <w:jc w:val="start"/>
        <w:tblInd w:w="0" w:type="dxa"/>
        <w:tblLayout w:type="fixed"/>
        <w:tblCellMar>
          <w:top w:w="28" w:type="dxa"/>
          <w:start w:w="28" w:type="dxa"/>
          <w:bottom w:w="28" w:type="dxa"/>
          <w:end w:w="28" w:type="dxa"/>
        </w:tblCellMar>
      </w:tblPr>
      <w:tblGrid>
        <w:gridCol w:w="3296"/>
        <w:gridCol w:w="1225"/>
        <w:gridCol w:w="1321"/>
      </w:tblGrid>
      <w:tr>
        <w:trPr/>
        <w:tc>
          <w:tcPr>
            <w:tcW w:w="3296" w:type="dxa"/>
            <w:tcBorders/>
            <w:vAlign w:val="center"/>
          </w:tcPr>
          <w:p>
            <w:pPr>
              <w:pStyle w:val="TableContents"/>
              <w:bidi w:val="0"/>
              <w:spacing w:before="0" w:after="283"/>
              <w:jc w:val="start"/>
              <w:rPr/>
            </w:pPr>
            <w:r>
              <w:rPr/>
              <w:t xml:space="preserve">Ready-to-use. </w:t>
            </w:r>
          </w:p>
        </w:tc>
        <w:tc>
          <w:tcPr>
            <w:tcW w:w="1225" w:type="dxa"/>
            <w:tcBorders/>
            <w:vAlign w:val="center"/>
          </w:tcPr>
          <w:p>
            <w:pPr>
              <w:pStyle w:val="TableContents"/>
              <w:bidi w:val="0"/>
              <w:spacing w:before="0" w:after="283"/>
              <w:jc w:val="start"/>
              <w:rPr/>
            </w:pPr>
            <w:r>
              <w:rPr/>
              <w:t xml:space="preserve">STR </w:t>
            </w:r>
          </w:p>
        </w:tc>
        <w:tc>
          <w:tcPr>
            <w:tcW w:w="1321" w:type="dxa"/>
            <w:tcBorders/>
            <w:vAlign w:val="center"/>
          </w:tcPr>
          <w:p>
            <w:pPr>
              <w:pStyle w:val="TableContents"/>
              <w:bidi w:val="0"/>
              <w:spacing w:before="0" w:after="283"/>
              <w:jc w:val="start"/>
              <w:rPr/>
            </w:pPr>
            <w:r>
              <w:rPr/>
              <w:t xml:space="preserve">30 CMVM strips </w:t>
            </w:r>
          </w:p>
        </w:tc>
      </w:tr>
      <w:tr>
        <w:trPr/>
        <w:tc>
          <w:tcPr>
            <w:tcW w:w="3296" w:type="dxa"/>
            <w:tcBorders/>
            <w:vAlign w:val="center"/>
          </w:tcPr>
          <w:p>
            <w:pPr>
              <w:pStyle w:val="TableContents"/>
              <w:bidi w:val="0"/>
              <w:jc w:val="start"/>
              <w:rPr/>
            </w:pPr>
            <w:r>
              <w:rPr/>
              <w:t xml:space="preserve">Ready-to-use. </w:t>
            </w:r>
          </w:p>
          <w:p>
            <w:pPr>
              <w:pStyle w:val="TableContents"/>
              <w:bidi w:val="0"/>
              <w:spacing w:before="0" w:after="283"/>
              <w:jc w:val="start"/>
              <w:rPr/>
            </w:pPr>
            <w:r>
              <w:rPr/>
              <w:t xml:space="preserve">Interior of SPRs coated with CMV antigen (cell culture of the virus of the AD 196 strain) . </w:t>
            </w:r>
          </w:p>
        </w:tc>
        <w:tc>
          <w:tcPr>
            <w:tcW w:w="1225" w:type="dxa"/>
            <w:tcBorders/>
            <w:vAlign w:val="center"/>
          </w:tcPr>
          <w:p>
            <w:pPr>
              <w:pStyle w:val="TableContents"/>
              <w:bidi w:val="0"/>
              <w:spacing w:before="0" w:after="283"/>
              <w:jc w:val="start"/>
              <w:rPr/>
            </w:pPr>
            <w:r>
              <w:rPr/>
              <w:t xml:space="preserve">SPR </w:t>
            </w:r>
          </w:p>
        </w:tc>
        <w:tc>
          <w:tcPr>
            <w:tcW w:w="1321" w:type="dxa"/>
            <w:tcBorders/>
            <w:vAlign w:val="center"/>
          </w:tcPr>
          <w:p>
            <w:pPr>
              <w:pStyle w:val="TableContents"/>
              <w:bidi w:val="0"/>
              <w:spacing w:before="0" w:after="283"/>
              <w:jc w:val="start"/>
              <w:rPr/>
            </w:pPr>
            <w:r>
              <w:rPr/>
              <w:t xml:space="preserve">30 CMVM SPRs </w:t>
            </w:r>
          </w:p>
        </w:tc>
      </w:tr>
      <w:tr>
        <w:trPr/>
        <w:tc>
          <w:tcPr>
            <w:tcW w:w="3296" w:type="dxa"/>
            <w:tcBorders/>
            <w:vAlign w:val="center"/>
          </w:tcPr>
          <w:p>
            <w:pPr>
              <w:pStyle w:val="TableContents"/>
              <w:bidi w:val="0"/>
              <w:jc w:val="start"/>
              <w:rPr/>
            </w:pPr>
            <w:r>
              <w:rPr/>
              <w:t xml:space="preserve">Ready-to-use. </w:t>
            </w:r>
          </w:p>
          <w:p>
            <w:pPr>
              <w:pStyle w:val="TableContents"/>
              <w:bidi w:val="0"/>
              <w:jc w:val="start"/>
              <w:rPr/>
            </w:pPr>
            <w:r>
              <w:rPr/>
              <w:t xml:space="preserve">Human serum* containing anti-CMV IgM + 1 gl sodium azide. Index: </w:t>
            </w:r>
          </w:p>
          <w:p>
            <w:pPr>
              <w:pStyle w:val="TableContents"/>
              <w:bidi w:val="0"/>
              <w:spacing w:before="0" w:after="283"/>
              <w:jc w:val="start"/>
              <w:rPr/>
            </w:pPr>
            <w:r>
              <w:rPr/>
              <w:t xml:space="preserve">The confidence interval is indicated on the MLE card after the following mention : “ control C1 (+) dose value range”. </w:t>
            </w:r>
          </w:p>
        </w:tc>
        <w:tc>
          <w:tcPr>
            <w:tcW w:w="1225" w:type="dxa"/>
            <w:tcBorders/>
            <w:vAlign w:val="center"/>
          </w:tcPr>
          <w:p>
            <w:pPr>
              <w:pStyle w:val="TableContents"/>
              <w:bidi w:val="0"/>
              <w:spacing w:before="0" w:after="283"/>
              <w:jc w:val="start"/>
              <w:rPr/>
            </w:pPr>
            <w:r>
              <w:rPr/>
              <w:t xml:space="preserve">C1 </w:t>
            </w:r>
          </w:p>
        </w:tc>
        <w:tc>
          <w:tcPr>
            <w:tcW w:w="1321" w:type="dxa"/>
            <w:tcBorders/>
            <w:vAlign w:val="center"/>
          </w:tcPr>
          <w:p>
            <w:pPr>
              <w:pStyle w:val="TableContents"/>
              <w:bidi w:val="0"/>
              <w:jc w:val="start"/>
              <w:rPr/>
            </w:pPr>
            <w:r>
              <w:rPr/>
              <w:t xml:space="preserve">CMVM positive control </w:t>
            </w:r>
          </w:p>
          <w:p>
            <w:pPr>
              <w:pStyle w:val="TableContents"/>
              <w:bidi w:val="0"/>
              <w:spacing w:before="0" w:after="283"/>
              <w:jc w:val="start"/>
              <w:rPr/>
            </w:pPr>
            <w:r>
              <w:rPr/>
              <w:t xml:space="preserve">1X0. 5 ml (liquid) </w:t>
            </w:r>
          </w:p>
        </w:tc>
      </w:tr>
      <w:tr>
        <w:trPr/>
        <w:tc>
          <w:tcPr>
            <w:tcW w:w="3296" w:type="dxa"/>
            <w:tcBorders/>
            <w:vAlign w:val="center"/>
          </w:tcPr>
          <w:p>
            <w:pPr>
              <w:pStyle w:val="TableContents"/>
              <w:bidi w:val="0"/>
              <w:jc w:val="start"/>
              <w:rPr/>
            </w:pPr>
            <w:r>
              <w:rPr/>
              <w:t xml:space="preserve">Ready-to-use. </w:t>
            </w:r>
          </w:p>
          <w:p>
            <w:pPr>
              <w:pStyle w:val="TableContents"/>
              <w:bidi w:val="0"/>
              <w:spacing w:before="0" w:after="283"/>
              <w:jc w:val="start"/>
              <w:rPr/>
            </w:pPr>
            <w:r>
              <w:rPr/>
              <w:t xml:space="preserve">Human serum not containing anti-CMV IgM + 1 gl sodium azide. </w:t>
            </w:r>
          </w:p>
        </w:tc>
        <w:tc>
          <w:tcPr>
            <w:tcW w:w="1225" w:type="dxa"/>
            <w:tcBorders/>
            <w:vAlign w:val="center"/>
          </w:tcPr>
          <w:p>
            <w:pPr>
              <w:pStyle w:val="TableContents"/>
              <w:bidi w:val="0"/>
              <w:spacing w:before="0" w:after="283"/>
              <w:jc w:val="start"/>
              <w:rPr/>
            </w:pPr>
            <w:r>
              <w:rPr/>
              <w:t xml:space="preserve">C2 </w:t>
            </w:r>
          </w:p>
        </w:tc>
        <w:tc>
          <w:tcPr>
            <w:tcW w:w="1321" w:type="dxa"/>
            <w:tcBorders/>
            <w:vAlign w:val="center"/>
          </w:tcPr>
          <w:p>
            <w:pPr>
              <w:pStyle w:val="TableContents"/>
              <w:bidi w:val="0"/>
              <w:jc w:val="start"/>
              <w:rPr/>
            </w:pPr>
            <w:r>
              <w:rPr/>
              <w:t xml:space="preserve">CMVM negative control </w:t>
            </w:r>
          </w:p>
          <w:p>
            <w:pPr>
              <w:pStyle w:val="TableContents"/>
              <w:bidi w:val="0"/>
              <w:spacing w:before="0" w:after="283"/>
              <w:jc w:val="start"/>
              <w:rPr/>
            </w:pPr>
            <w:r>
              <w:rPr/>
              <w:t xml:space="preserve">1X1 ml (liquid) </w:t>
            </w:r>
          </w:p>
        </w:tc>
      </w:tr>
      <w:tr>
        <w:trPr/>
        <w:tc>
          <w:tcPr>
            <w:tcW w:w="3296" w:type="dxa"/>
            <w:tcBorders/>
            <w:vAlign w:val="center"/>
          </w:tcPr>
          <w:p>
            <w:pPr>
              <w:pStyle w:val="TableContents"/>
              <w:bidi w:val="0"/>
              <w:jc w:val="start"/>
              <w:rPr/>
            </w:pPr>
            <w:r>
              <w:rPr/>
              <w:t xml:space="preserve">Ready-to-use. </w:t>
            </w:r>
          </w:p>
          <w:p>
            <w:pPr>
              <w:pStyle w:val="TableContents"/>
              <w:bidi w:val="0"/>
              <w:spacing w:before="0" w:after="283"/>
              <w:jc w:val="start"/>
              <w:rPr/>
            </w:pPr>
            <w:r>
              <w:rPr/>
              <w:t xml:space="preserve">Human serum* containing anti-CMV IgM + 1 gl sodium azide. </w:t>
            </w:r>
          </w:p>
        </w:tc>
        <w:tc>
          <w:tcPr>
            <w:tcW w:w="1225" w:type="dxa"/>
            <w:tcBorders/>
            <w:vAlign w:val="center"/>
          </w:tcPr>
          <w:p>
            <w:pPr>
              <w:pStyle w:val="TableContents"/>
              <w:bidi w:val="0"/>
              <w:spacing w:before="0" w:after="283"/>
              <w:jc w:val="start"/>
              <w:rPr/>
            </w:pPr>
            <w:r>
              <w:rPr/>
              <w:t xml:space="preserve">S1 </w:t>
            </w:r>
          </w:p>
        </w:tc>
        <w:tc>
          <w:tcPr>
            <w:tcW w:w="1321" w:type="dxa"/>
            <w:tcBorders/>
            <w:vAlign w:val="center"/>
          </w:tcPr>
          <w:p>
            <w:pPr>
              <w:pStyle w:val="TableContents"/>
              <w:bidi w:val="0"/>
              <w:jc w:val="start"/>
              <w:rPr/>
            </w:pPr>
            <w:r>
              <w:rPr/>
              <w:t xml:space="preserve">CMVM calibrator </w:t>
            </w:r>
          </w:p>
          <w:p>
            <w:pPr>
              <w:pStyle w:val="TableContents"/>
              <w:bidi w:val="0"/>
              <w:spacing w:before="0" w:after="283"/>
              <w:jc w:val="start"/>
              <w:rPr/>
            </w:pPr>
            <w:r>
              <w:rPr/>
              <w:t xml:space="preserve">1X1ml (liquid). </w:t>
            </w:r>
          </w:p>
        </w:tc>
      </w:tr>
      <w:tr>
        <w:trPr/>
        <w:tc>
          <w:tcPr>
            <w:tcW w:w="3296" w:type="dxa"/>
            <w:tcBorders/>
            <w:vAlign w:val="center"/>
          </w:tcPr>
          <w:p>
            <w:pPr>
              <w:pStyle w:val="TableContents"/>
              <w:bidi w:val="0"/>
              <w:spacing w:before="0" w:after="283"/>
              <w:jc w:val="start"/>
              <w:rPr/>
            </w:pPr>
            <w:r>
              <w:rPr/>
              <w:t xml:space="preserve">Specification for the factory master data required two calibrate the test : to read MLE data. </w:t>
            </w:r>
          </w:p>
        </w:tc>
        <w:tc>
          <w:tcPr>
            <w:tcW w:w="1225" w:type="dxa"/>
            <w:tcBorders/>
            <w:vAlign w:val="center"/>
          </w:tcPr>
          <w:p>
            <w:pPr>
              <w:pStyle w:val="TableContents"/>
              <w:bidi w:val="0"/>
              <w:spacing w:before="0" w:after="283"/>
              <w:jc w:val="start"/>
              <w:rPr/>
            </w:pPr>
            <w:r>
              <w:rPr/>
              <w:t xml:space="preserve">1 MLE card (master lot entery) </w:t>
            </w:r>
          </w:p>
        </w:tc>
        <w:tc>
          <w:tcPr>
            <w:tcW w:w="1321" w:type="dxa"/>
            <w:tcBorders/>
          </w:tcPr>
          <w:p>
            <w:pPr>
              <w:pStyle w:val="TableContents"/>
              <w:bidi w:val="0"/>
              <w:spacing w:before="0" w:after="283"/>
              <w:jc w:val="start"/>
              <w:rPr>
                <w:sz w:val="4"/>
                <w:szCs w:val="4"/>
              </w:rPr>
            </w:pPr>
            <w:r>
              <w:rPr>
                <w:sz w:val="4"/>
                <w:szCs w:val="4"/>
              </w:rPr>
            </w:r>
          </w:p>
        </w:tc>
      </w:tr>
      <w:tr>
        <w:trPr/>
        <w:tc>
          <w:tcPr>
            <w:tcW w:w="3296" w:type="dxa"/>
            <w:tcBorders/>
            <w:vAlign w:val="center"/>
          </w:tcPr>
          <w:p>
            <w:pPr>
              <w:pStyle w:val="TableContents"/>
              <w:bidi w:val="0"/>
              <w:spacing w:before="0" w:after="283"/>
              <w:jc w:val="start"/>
              <w:rPr/>
            </w:pPr>
            <w:r>
              <w:rPr/>
              <w:t xml:space="preserve">1 package insert </w:t>
            </w:r>
          </w:p>
        </w:tc>
        <w:tc>
          <w:tcPr>
            <w:tcW w:w="2546" w:type="dxa"/>
            <w:gridSpan w:val="2"/>
            <w:tcBorders/>
          </w:tcPr>
          <w:p>
            <w:pPr>
              <w:pStyle w:val="TableContents"/>
              <w:bidi w:val="0"/>
              <w:spacing w:before="0" w:after="283"/>
              <w:jc w:val="start"/>
              <w:rPr>
                <w:sz w:val="4"/>
                <w:szCs w:val="4"/>
              </w:rPr>
            </w:pPr>
            <w:r>
              <w:rPr>
                <w:sz w:val="4"/>
                <w:szCs w:val="4"/>
              </w:rPr>
            </w:r>
          </w:p>
        </w:tc>
      </w:tr>
    </w:tbl>
    <w:p>
      <w:pPr>
        <w:pStyle w:val="Heading3"/>
        <w:bidi w:val="0"/>
        <w:jc w:val="start"/>
        <w:rPr/>
      </w:pPr>
      <w:r>
        <w:rPr/>
        <w:t xml:space="preserve">The solid phase receptacle (SPR) </w:t>
      </w:r>
    </w:p>
    <w:p>
      <w:pPr>
        <w:pStyle w:val="TextBody"/>
        <w:bidi w:val="0"/>
        <w:spacing w:before="0" w:after="283"/>
        <w:jc w:val="start"/>
        <w:rPr/>
      </w:pPr>
      <w:r>
        <w:rPr/>
        <w:t xml:space="preserve">The same as SPR of CMV IgG that explained previously. </w:t>
      </w:r>
    </w:p>
    <w:p>
      <w:pPr>
        <w:pStyle w:val="Heading3"/>
        <w:bidi w:val="0"/>
        <w:jc w:val="start"/>
        <w:rPr/>
      </w:pPr>
      <w:r>
        <w:rPr/>
        <w:t xml:space="preserve">The reagent strip </w:t>
      </w:r>
    </w:p>
    <w:p>
      <w:pPr>
        <w:pStyle w:val="TextBody"/>
        <w:bidi w:val="0"/>
        <w:spacing w:before="0" w:after="283"/>
        <w:jc w:val="start"/>
        <w:rPr/>
      </w:pPr>
      <w:r>
        <w:rPr/>
        <w:t xml:space="preserve">The same as reagent strip of CMV IgG that explained previously. </w:t>
      </w:r>
    </w:p>
    <w:p>
      <w:pPr>
        <w:pStyle w:val="Heading3"/>
        <w:bidi w:val="0"/>
        <w:jc w:val="start"/>
        <w:rPr/>
      </w:pPr>
      <w:r>
        <w:rPr/>
        <w:t xml:space="preserve">Description of the CMVM strip </w:t>
      </w:r>
    </w:p>
    <w:tbl>
      <w:tblPr>
        <w:tblW w:w="5842" w:type="dxa"/>
        <w:jc w:val="start"/>
        <w:tblInd w:w="0" w:type="dxa"/>
        <w:tblLayout w:type="fixed"/>
        <w:tblCellMar>
          <w:top w:w="28" w:type="dxa"/>
          <w:start w:w="28" w:type="dxa"/>
          <w:bottom w:w="28" w:type="dxa"/>
          <w:end w:w="28" w:type="dxa"/>
        </w:tblCellMar>
      </w:tblPr>
      <w:tblGrid>
        <w:gridCol w:w="643"/>
        <w:gridCol w:w="5199"/>
      </w:tblGrid>
      <w:tr>
        <w:trPr/>
        <w:tc>
          <w:tcPr>
            <w:tcW w:w="643" w:type="dxa"/>
            <w:tcBorders/>
            <w:vAlign w:val="center"/>
          </w:tcPr>
          <w:p>
            <w:pPr>
              <w:pStyle w:val="TableContents"/>
              <w:bidi w:val="0"/>
              <w:spacing w:before="0" w:after="283"/>
              <w:jc w:val="start"/>
              <w:rPr/>
            </w:pPr>
            <w:r>
              <w:rPr/>
              <w:t xml:space="preserve">Well </w:t>
            </w:r>
          </w:p>
        </w:tc>
        <w:tc>
          <w:tcPr>
            <w:tcW w:w="5199" w:type="dxa"/>
            <w:tcBorders/>
            <w:vAlign w:val="center"/>
          </w:tcPr>
          <w:p>
            <w:pPr>
              <w:pStyle w:val="TableContents"/>
              <w:bidi w:val="0"/>
              <w:spacing w:before="0" w:after="283"/>
              <w:jc w:val="start"/>
              <w:rPr/>
            </w:pPr>
            <w:r>
              <w:rPr/>
              <w:t xml:space="preserve">Reagents </w:t>
            </w:r>
          </w:p>
        </w:tc>
      </w:tr>
      <w:tr>
        <w:trPr/>
        <w:tc>
          <w:tcPr>
            <w:tcW w:w="643" w:type="dxa"/>
            <w:tcBorders/>
            <w:vAlign w:val="center"/>
          </w:tcPr>
          <w:p>
            <w:pPr>
              <w:pStyle w:val="TableContents"/>
              <w:bidi w:val="0"/>
              <w:spacing w:before="0" w:after="283"/>
              <w:jc w:val="start"/>
              <w:rPr/>
            </w:pPr>
            <w:r>
              <w:rPr/>
              <w:t xml:space="preserve">1 </w:t>
            </w:r>
          </w:p>
        </w:tc>
        <w:tc>
          <w:tcPr>
            <w:tcW w:w="5199" w:type="dxa"/>
            <w:tcBorders/>
            <w:vAlign w:val="center"/>
          </w:tcPr>
          <w:p>
            <w:pPr>
              <w:pStyle w:val="TableContents"/>
              <w:bidi w:val="0"/>
              <w:spacing w:before="0" w:after="283"/>
              <w:jc w:val="start"/>
              <w:rPr/>
            </w:pPr>
            <w:r>
              <w:rPr/>
              <w:t xml:space="preserve">Sampel well. </w:t>
            </w:r>
          </w:p>
        </w:tc>
      </w:tr>
      <w:tr>
        <w:trPr/>
        <w:tc>
          <w:tcPr>
            <w:tcW w:w="643" w:type="dxa"/>
            <w:tcBorders/>
            <w:vAlign w:val="center"/>
          </w:tcPr>
          <w:p>
            <w:pPr>
              <w:pStyle w:val="TableContents"/>
              <w:bidi w:val="0"/>
              <w:spacing w:before="0" w:after="283"/>
              <w:jc w:val="start"/>
              <w:rPr/>
            </w:pPr>
            <w:r>
              <w:rPr/>
              <w:t xml:space="preserve">2 </w:t>
            </w:r>
          </w:p>
        </w:tc>
        <w:tc>
          <w:tcPr>
            <w:tcW w:w="5199" w:type="dxa"/>
            <w:tcBorders/>
            <w:vAlign w:val="center"/>
          </w:tcPr>
          <w:p>
            <w:pPr>
              <w:pStyle w:val="TableContents"/>
              <w:bidi w:val="0"/>
              <w:spacing w:before="0" w:after="283"/>
              <w:jc w:val="start"/>
              <w:rPr/>
            </w:pPr>
            <w:r>
              <w:rPr/>
              <w:t xml:space="preserve">IgG and rheumatoid factor adsorbant(anti-human IgG goat serum ) +1g/l sodium azide (300µl). </w:t>
            </w:r>
          </w:p>
        </w:tc>
      </w:tr>
      <w:tr>
        <w:trPr/>
        <w:tc>
          <w:tcPr>
            <w:tcW w:w="643" w:type="dxa"/>
            <w:tcBorders/>
            <w:vAlign w:val="center"/>
          </w:tcPr>
          <w:p>
            <w:pPr>
              <w:pStyle w:val="TableContents"/>
              <w:bidi w:val="0"/>
              <w:spacing w:before="0" w:after="283"/>
              <w:jc w:val="start"/>
              <w:rPr/>
            </w:pPr>
            <w:r>
              <w:rPr/>
              <w:t xml:space="preserve">3 </w:t>
            </w:r>
          </w:p>
        </w:tc>
        <w:tc>
          <w:tcPr>
            <w:tcW w:w="5199" w:type="dxa"/>
            <w:tcBorders/>
            <w:vAlign w:val="center"/>
          </w:tcPr>
          <w:p>
            <w:pPr>
              <w:pStyle w:val="TableContents"/>
              <w:bidi w:val="0"/>
              <w:spacing w:before="0" w:after="283"/>
              <w:jc w:val="start"/>
              <w:rPr/>
            </w:pPr>
            <w:r>
              <w:rPr/>
              <w:t xml:space="preserve">IgG and rheumatoid factor adsorbant(anti-human IgG goat serum ) +1g/l sodium azide (600µl). </w:t>
            </w:r>
          </w:p>
        </w:tc>
      </w:tr>
      <w:tr>
        <w:trPr/>
        <w:tc>
          <w:tcPr>
            <w:tcW w:w="643" w:type="dxa"/>
            <w:tcBorders/>
            <w:vAlign w:val="center"/>
          </w:tcPr>
          <w:p>
            <w:pPr>
              <w:pStyle w:val="TableContents"/>
              <w:bidi w:val="0"/>
              <w:spacing w:before="0" w:after="283"/>
              <w:jc w:val="start"/>
              <w:rPr/>
            </w:pPr>
            <w:r>
              <w:rPr/>
              <w:t xml:space="preserve">4 </w:t>
            </w:r>
          </w:p>
        </w:tc>
        <w:tc>
          <w:tcPr>
            <w:tcW w:w="5199" w:type="dxa"/>
            <w:tcBorders/>
            <w:vAlign w:val="center"/>
          </w:tcPr>
          <w:p>
            <w:pPr>
              <w:pStyle w:val="TableContents"/>
              <w:bidi w:val="0"/>
              <w:spacing w:before="0" w:after="283"/>
              <w:jc w:val="start"/>
              <w:rPr/>
            </w:pPr>
            <w:r>
              <w:rPr/>
              <w:t xml:space="preserve">Pre-wash solution : phosphate (10mmol/l) PH 7. 2+Tween +protein and chemical stabilizer+1 g/l sodium azide (600µl). </w:t>
            </w:r>
          </w:p>
        </w:tc>
      </w:tr>
      <w:tr>
        <w:trPr/>
        <w:tc>
          <w:tcPr>
            <w:tcW w:w="643" w:type="dxa"/>
            <w:tcBorders/>
            <w:vAlign w:val="center"/>
          </w:tcPr>
          <w:p>
            <w:pPr>
              <w:pStyle w:val="TableContents"/>
              <w:bidi w:val="0"/>
              <w:spacing w:before="0" w:after="283"/>
              <w:jc w:val="start"/>
              <w:rPr/>
            </w:pPr>
            <w:r>
              <w:rPr/>
              <w:t xml:space="preserve">5-7-8-9 </w:t>
            </w:r>
          </w:p>
        </w:tc>
        <w:tc>
          <w:tcPr>
            <w:tcW w:w="5199" w:type="dxa"/>
            <w:tcBorders/>
            <w:vAlign w:val="center"/>
          </w:tcPr>
          <w:p>
            <w:pPr>
              <w:pStyle w:val="TableContents"/>
              <w:bidi w:val="0"/>
              <w:spacing w:before="0" w:after="283"/>
              <w:jc w:val="start"/>
              <w:rPr/>
            </w:pPr>
            <w:r>
              <w:rPr/>
              <w:t xml:space="preserve">Wash solution: TRIS buffer (50mmol/l) PH 7. 4 +0. 9 g/l sodium azide (600µl). </w:t>
            </w:r>
          </w:p>
        </w:tc>
      </w:tr>
      <w:tr>
        <w:trPr/>
        <w:tc>
          <w:tcPr>
            <w:tcW w:w="643" w:type="dxa"/>
            <w:tcBorders/>
            <w:vAlign w:val="center"/>
          </w:tcPr>
          <w:p>
            <w:pPr>
              <w:pStyle w:val="TableContents"/>
              <w:bidi w:val="0"/>
              <w:spacing w:before="0" w:after="283"/>
              <w:jc w:val="start"/>
              <w:rPr/>
            </w:pPr>
            <w:r>
              <w:rPr/>
              <w:t xml:space="preserve">6 </w:t>
            </w:r>
          </w:p>
        </w:tc>
        <w:tc>
          <w:tcPr>
            <w:tcW w:w="5199" w:type="dxa"/>
            <w:tcBorders/>
            <w:vAlign w:val="center"/>
          </w:tcPr>
          <w:p>
            <w:pPr>
              <w:pStyle w:val="TableContents"/>
              <w:bidi w:val="0"/>
              <w:spacing w:before="0" w:after="283"/>
              <w:jc w:val="start"/>
              <w:rPr/>
            </w:pPr>
            <w:r>
              <w:rPr/>
              <w:t xml:space="preserve">Conjugate: Alkaline phosphatase-labeled monoclonal anti-human IgM antibodies (mouse) + 1g/l sodium azide (400 µl). </w:t>
            </w:r>
          </w:p>
        </w:tc>
      </w:tr>
      <w:tr>
        <w:trPr/>
        <w:tc>
          <w:tcPr>
            <w:tcW w:w="643" w:type="dxa"/>
            <w:tcBorders/>
            <w:vAlign w:val="center"/>
          </w:tcPr>
          <w:p>
            <w:pPr>
              <w:pStyle w:val="TableContents"/>
              <w:bidi w:val="0"/>
              <w:spacing w:before="0" w:after="283"/>
              <w:jc w:val="start"/>
              <w:rPr/>
            </w:pPr>
            <w:r>
              <w:rPr/>
              <w:t xml:space="preserve">10 </w:t>
            </w:r>
          </w:p>
        </w:tc>
        <w:tc>
          <w:tcPr>
            <w:tcW w:w="5199" w:type="dxa"/>
            <w:tcBorders/>
            <w:vAlign w:val="center"/>
          </w:tcPr>
          <w:p>
            <w:pPr>
              <w:pStyle w:val="TableContents"/>
              <w:bidi w:val="0"/>
              <w:spacing w:before="0" w:after="283"/>
              <w:jc w:val="start"/>
              <w:rPr/>
            </w:pPr>
            <w:r>
              <w:rPr/>
              <w:t xml:space="preserve">Reading cuvette with substrate: 4-Methyle-umbelliferyl phosphate (0. 6mmol/l)+diethanolamine(DEA) (0. 62mol/l or 6. 6%, PH 9. 2)+1g/l sodium azide (300µl). </w:t>
            </w:r>
          </w:p>
        </w:tc>
      </w:tr>
    </w:tbl>
    <w:p>
      <w:pPr>
        <w:pStyle w:val="Heading4"/>
        <w:bidi w:val="0"/>
        <w:jc w:val="start"/>
        <w:rPr/>
      </w:pPr>
      <w:r>
        <w:rPr/>
        <w:t xml:space="preserve">Procedure </w:t>
      </w:r>
    </w:p>
    <w:p>
      <w:pPr>
        <w:pStyle w:val="TextBody"/>
        <w:bidi w:val="0"/>
        <w:spacing w:before="0" w:after="283"/>
        <w:jc w:val="start"/>
        <w:rPr/>
      </w:pPr>
      <w:r>
        <w:rPr/>
        <w:t xml:space="preserve">The same as procedure of CMV IgG but this assay will be completed within approximately 60 minute. </w:t>
      </w:r>
    </w:p>
    <w:p>
      <w:pPr>
        <w:pStyle w:val="Heading4"/>
        <w:bidi w:val="0"/>
        <w:jc w:val="start"/>
        <w:rPr/>
      </w:pPr>
      <w:r>
        <w:rPr/>
        <w:t xml:space="preserve">Results and interpretation </w:t>
      </w:r>
    </w:p>
    <w:p>
      <w:pPr>
        <w:pStyle w:val="TextBody"/>
        <w:bidi w:val="0"/>
        <w:spacing w:before="0" w:after="283"/>
        <w:jc w:val="start"/>
        <w:rPr/>
      </w:pPr>
      <w:r>
        <w:rPr/>
        <w:t xml:space="preserve">The results measured as the same as method to CMV-IgG Ab that explained previously. </w:t>
      </w:r>
    </w:p>
    <w:p>
      <w:pPr>
        <w:pStyle w:val="TextBody"/>
        <w:bidi w:val="0"/>
        <w:spacing w:before="0" w:after="283"/>
        <w:jc w:val="start"/>
        <w:rPr/>
      </w:pPr>
      <w:r>
        <w:rPr/>
        <w:t xml:space="preserve">Thresholds and interpretation of results </w:t>
      </w:r>
    </w:p>
    <w:tbl>
      <w:tblPr>
        <w:tblW w:w="3182" w:type="dxa"/>
        <w:jc w:val="start"/>
        <w:tblInd w:w="0" w:type="dxa"/>
        <w:tblLayout w:type="fixed"/>
        <w:tblCellMar>
          <w:top w:w="28" w:type="dxa"/>
          <w:start w:w="28" w:type="dxa"/>
          <w:bottom w:w="28" w:type="dxa"/>
          <w:end w:w="28" w:type="dxa"/>
        </w:tblCellMar>
      </w:tblPr>
      <w:tblGrid>
        <w:gridCol w:w="1711"/>
        <w:gridCol w:w="1471"/>
      </w:tblGrid>
      <w:tr>
        <w:trPr/>
        <w:tc>
          <w:tcPr>
            <w:tcW w:w="1711" w:type="dxa"/>
            <w:tcBorders/>
            <w:vAlign w:val="center"/>
          </w:tcPr>
          <w:p>
            <w:pPr>
              <w:pStyle w:val="TableContents"/>
              <w:bidi w:val="0"/>
              <w:spacing w:before="0" w:after="283"/>
              <w:jc w:val="start"/>
              <w:rPr/>
            </w:pPr>
            <w:r>
              <w:rPr/>
              <w:t xml:space="preserve">Index </w:t>
            </w:r>
          </w:p>
        </w:tc>
        <w:tc>
          <w:tcPr>
            <w:tcW w:w="1471" w:type="dxa"/>
            <w:tcBorders/>
            <w:vAlign w:val="center"/>
          </w:tcPr>
          <w:p>
            <w:pPr>
              <w:pStyle w:val="TableContents"/>
              <w:bidi w:val="0"/>
              <w:spacing w:before="0" w:after="283"/>
              <w:jc w:val="start"/>
              <w:rPr/>
            </w:pPr>
            <w:r>
              <w:rPr/>
              <w:t xml:space="preserve">Interpretation </w:t>
            </w:r>
          </w:p>
        </w:tc>
      </w:tr>
      <w:tr>
        <w:trPr/>
        <w:tc>
          <w:tcPr>
            <w:tcW w:w="1711" w:type="dxa"/>
            <w:tcBorders/>
            <w:vAlign w:val="center"/>
          </w:tcPr>
          <w:p>
            <w:pPr>
              <w:pStyle w:val="TableContents"/>
              <w:bidi w:val="0"/>
              <w:spacing w:before="0" w:after="283"/>
              <w:jc w:val="start"/>
              <w:rPr/>
            </w:pPr>
            <w:r>
              <w:rPr/>
              <w:t xml:space="preserve">I &lt; 0. 07 </w:t>
            </w:r>
          </w:p>
        </w:tc>
        <w:tc>
          <w:tcPr>
            <w:tcW w:w="1471" w:type="dxa"/>
            <w:tcBorders/>
            <w:vAlign w:val="center"/>
          </w:tcPr>
          <w:p>
            <w:pPr>
              <w:pStyle w:val="TableContents"/>
              <w:bidi w:val="0"/>
              <w:spacing w:before="0" w:after="283"/>
              <w:jc w:val="start"/>
              <w:rPr/>
            </w:pPr>
            <w:r>
              <w:rPr/>
              <w:t xml:space="preserve">Negative </w:t>
            </w:r>
          </w:p>
        </w:tc>
      </w:tr>
      <w:tr>
        <w:trPr/>
        <w:tc>
          <w:tcPr>
            <w:tcW w:w="1711" w:type="dxa"/>
            <w:tcBorders/>
            <w:vAlign w:val="center"/>
          </w:tcPr>
          <w:p>
            <w:pPr>
              <w:pStyle w:val="TableContents"/>
              <w:bidi w:val="0"/>
              <w:spacing w:before="0" w:after="283"/>
              <w:jc w:val="start"/>
              <w:rPr/>
            </w:pPr>
            <w:r>
              <w:rPr/>
              <w:t xml:space="preserve">0. 07 ≥ i &lt; 0. 09 </w:t>
            </w:r>
          </w:p>
        </w:tc>
        <w:tc>
          <w:tcPr>
            <w:tcW w:w="1471" w:type="dxa"/>
            <w:tcBorders/>
            <w:vAlign w:val="center"/>
          </w:tcPr>
          <w:p>
            <w:pPr>
              <w:pStyle w:val="TableContents"/>
              <w:bidi w:val="0"/>
              <w:spacing w:before="0" w:after="283"/>
              <w:jc w:val="start"/>
              <w:rPr/>
            </w:pPr>
            <w:r>
              <w:rPr/>
              <w:t xml:space="preserve">Equivocal </w:t>
            </w:r>
          </w:p>
        </w:tc>
      </w:tr>
      <w:tr>
        <w:trPr/>
        <w:tc>
          <w:tcPr>
            <w:tcW w:w="1711" w:type="dxa"/>
            <w:tcBorders/>
            <w:vAlign w:val="center"/>
          </w:tcPr>
          <w:p>
            <w:pPr>
              <w:pStyle w:val="TableContents"/>
              <w:bidi w:val="0"/>
              <w:spacing w:before="0" w:after="283"/>
              <w:jc w:val="start"/>
              <w:rPr/>
            </w:pPr>
            <w:r>
              <w:rPr/>
              <w:t xml:space="preserve">I ≥ 0. 09 </w:t>
            </w:r>
          </w:p>
        </w:tc>
        <w:tc>
          <w:tcPr>
            <w:tcW w:w="1471" w:type="dxa"/>
            <w:tcBorders/>
            <w:vAlign w:val="center"/>
          </w:tcPr>
          <w:p>
            <w:pPr>
              <w:pStyle w:val="TableContents"/>
              <w:bidi w:val="0"/>
              <w:spacing w:before="0" w:after="283"/>
              <w:jc w:val="start"/>
              <w:rPr/>
            </w:pPr>
            <w:r>
              <w:rPr/>
              <w:t xml:space="preserve">Positive </w:t>
            </w:r>
          </w:p>
        </w:tc>
      </w:tr>
    </w:tbl>
    <w:p>
      <w:pPr>
        <w:pStyle w:val="TextBody"/>
        <w:bidi w:val="0"/>
        <w:spacing w:before="0" w:after="283"/>
        <w:jc w:val="start"/>
        <w:rPr/>
      </w:pPr>
      <w:r>
        <w:rPr/>
        <w:t xml:space="preserve">The data was put on computer file for storage and analysis. Descriptive statistics included the use of frequencies, relative frequencies, means, standard deviations and ranges. The Chi-Square statistical test was used to test for associations between variables with the results being considered as statistically significant when the P value was ≤0. 05 SPSS statistical package version 20 was used for data description and analysis. Fisher exact test or Yates correction formula was applied whenever applicable. </w:t>
      </w:r>
    </w:p>
    <w:tbl>
      <w:tblPr>
        <w:tblW w:w="5842" w:type="dxa"/>
        <w:jc w:val="start"/>
        <w:tblInd w:w="0" w:type="dxa"/>
        <w:tblLayout w:type="fixed"/>
        <w:tblCellMar>
          <w:top w:w="28" w:type="dxa"/>
          <w:start w:w="28" w:type="dxa"/>
          <w:bottom w:w="28" w:type="dxa"/>
          <w:end w:w="28" w:type="dxa"/>
        </w:tblCellMar>
      </w:tblPr>
      <w:tblGrid>
        <w:gridCol w:w="631"/>
        <w:gridCol w:w="646"/>
        <w:gridCol w:w="721"/>
        <w:gridCol w:w="646"/>
        <w:gridCol w:w="1036"/>
        <w:gridCol w:w="1036"/>
        <w:gridCol w:w="1126"/>
      </w:tblGrid>
      <w:tr>
        <w:trPr/>
        <w:tc>
          <w:tcPr>
            <w:tcW w:w="63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Mean </w:t>
            </w:r>
          </w:p>
        </w:tc>
        <w:tc>
          <w:tcPr>
            <w:tcW w:w="721" w:type="dxa"/>
            <w:tcBorders/>
            <w:vAlign w:val="center"/>
          </w:tcPr>
          <w:p>
            <w:pPr>
              <w:pStyle w:val="TableContents"/>
              <w:bidi w:val="0"/>
              <w:spacing w:before="0" w:after="283"/>
              <w:jc w:val="start"/>
              <w:rPr/>
            </w:pPr>
            <w:r>
              <w:rPr/>
              <w:t xml:space="preserve">Range </w:t>
            </w:r>
          </w:p>
        </w:tc>
        <w:tc>
          <w:tcPr>
            <w:tcW w:w="646" w:type="dxa"/>
            <w:tcBorders/>
            <w:vAlign w:val="center"/>
          </w:tcPr>
          <w:p>
            <w:pPr>
              <w:pStyle w:val="TableContents"/>
              <w:bidi w:val="0"/>
              <w:spacing w:before="0" w:after="283"/>
              <w:jc w:val="start"/>
              <w:rPr/>
            </w:pPr>
            <w:r>
              <w:rPr/>
              <w:t xml:space="preserve">Std Error of Mean </w:t>
            </w:r>
          </w:p>
        </w:tc>
        <w:tc>
          <w:tcPr>
            <w:tcW w:w="1036" w:type="dxa"/>
            <w:tcBorders/>
            <w:vAlign w:val="center"/>
          </w:tcPr>
          <w:p>
            <w:pPr>
              <w:pStyle w:val="TableContents"/>
              <w:bidi w:val="0"/>
              <w:spacing w:before="0" w:after="283"/>
              <w:jc w:val="start"/>
              <w:rPr/>
            </w:pPr>
            <w:r>
              <w:rPr/>
              <w:t xml:space="preserve">Std. Deviation </w:t>
            </w:r>
          </w:p>
        </w:tc>
        <w:tc>
          <w:tcPr>
            <w:tcW w:w="1036" w:type="dxa"/>
            <w:tcBorders/>
            <w:vAlign w:val="center"/>
          </w:tcPr>
          <w:p>
            <w:pPr>
              <w:pStyle w:val="TableContents"/>
              <w:bidi w:val="0"/>
              <w:spacing w:before="0" w:after="283"/>
              <w:jc w:val="start"/>
              <w:rPr/>
            </w:pPr>
            <w:r>
              <w:rPr/>
              <w:t xml:space="preserve">Minimum </w:t>
            </w:r>
          </w:p>
        </w:tc>
        <w:tc>
          <w:tcPr>
            <w:tcW w:w="1126" w:type="dxa"/>
            <w:tcBorders/>
            <w:vAlign w:val="center"/>
          </w:tcPr>
          <w:p>
            <w:pPr>
              <w:pStyle w:val="TableContents"/>
              <w:bidi w:val="0"/>
              <w:spacing w:before="0" w:after="283"/>
              <w:jc w:val="start"/>
              <w:rPr/>
            </w:pPr>
            <w:r>
              <w:rPr/>
              <w:t xml:space="preserve">Maximum </w:t>
            </w:r>
          </w:p>
        </w:tc>
      </w:tr>
      <w:tr>
        <w:trPr/>
        <w:tc>
          <w:tcPr>
            <w:tcW w:w="631" w:type="dxa"/>
            <w:tcBorders/>
            <w:vAlign w:val="center"/>
          </w:tcPr>
          <w:p>
            <w:pPr>
              <w:pStyle w:val="TableContents"/>
              <w:bidi w:val="0"/>
              <w:spacing w:before="0" w:after="283"/>
              <w:jc w:val="start"/>
              <w:rPr/>
            </w:pPr>
            <w:r>
              <w:rPr/>
              <w:t xml:space="preserve">AGE </w:t>
            </w:r>
          </w:p>
        </w:tc>
        <w:tc>
          <w:tcPr>
            <w:tcW w:w="646" w:type="dxa"/>
            <w:tcBorders/>
            <w:vAlign w:val="center"/>
          </w:tcPr>
          <w:p>
            <w:pPr>
              <w:pStyle w:val="TableContents"/>
              <w:bidi w:val="0"/>
              <w:spacing w:before="0" w:after="283"/>
              <w:jc w:val="start"/>
              <w:rPr/>
            </w:pPr>
            <w:r>
              <w:rPr/>
              <w:t xml:space="preserve">26. 21 </w:t>
            </w:r>
          </w:p>
        </w:tc>
        <w:tc>
          <w:tcPr>
            <w:tcW w:w="721" w:type="dxa"/>
            <w:tcBorders/>
            <w:vAlign w:val="center"/>
          </w:tcPr>
          <w:p>
            <w:pPr>
              <w:pStyle w:val="TableContents"/>
              <w:bidi w:val="0"/>
              <w:spacing w:before="0" w:after="283"/>
              <w:jc w:val="start"/>
              <w:rPr/>
            </w:pPr>
            <w:r>
              <w:rPr/>
              <w:t xml:space="preserve">27. 00 </w:t>
            </w:r>
          </w:p>
        </w:tc>
        <w:tc>
          <w:tcPr>
            <w:tcW w:w="646" w:type="dxa"/>
            <w:tcBorders/>
            <w:vAlign w:val="center"/>
          </w:tcPr>
          <w:p>
            <w:pPr>
              <w:pStyle w:val="TableContents"/>
              <w:bidi w:val="0"/>
              <w:spacing w:before="0" w:after="283"/>
              <w:jc w:val="start"/>
              <w:rPr/>
            </w:pPr>
            <w:r>
              <w:rPr/>
              <w:t xml:space="preserve">0. 42 </w:t>
            </w:r>
          </w:p>
        </w:tc>
        <w:tc>
          <w:tcPr>
            <w:tcW w:w="1036" w:type="dxa"/>
            <w:tcBorders/>
            <w:vAlign w:val="center"/>
          </w:tcPr>
          <w:p>
            <w:pPr>
              <w:pStyle w:val="TableContents"/>
              <w:bidi w:val="0"/>
              <w:spacing w:before="0" w:after="283"/>
              <w:jc w:val="start"/>
              <w:rPr/>
            </w:pPr>
            <w:r>
              <w:rPr/>
              <w:t xml:space="preserve">6. 55 </w:t>
            </w:r>
          </w:p>
        </w:tc>
        <w:tc>
          <w:tcPr>
            <w:tcW w:w="1036" w:type="dxa"/>
            <w:tcBorders/>
            <w:vAlign w:val="center"/>
          </w:tcPr>
          <w:p>
            <w:pPr>
              <w:pStyle w:val="TableContents"/>
              <w:bidi w:val="0"/>
              <w:spacing w:before="0" w:after="283"/>
              <w:jc w:val="start"/>
              <w:rPr/>
            </w:pPr>
            <w:r>
              <w:rPr/>
              <w:t xml:space="preserve">16. 00 </w:t>
            </w:r>
          </w:p>
        </w:tc>
        <w:tc>
          <w:tcPr>
            <w:tcW w:w="1126" w:type="dxa"/>
            <w:tcBorders/>
            <w:vAlign w:val="center"/>
          </w:tcPr>
          <w:p>
            <w:pPr>
              <w:pStyle w:val="TableContents"/>
              <w:bidi w:val="0"/>
              <w:spacing w:before="0" w:after="283"/>
              <w:jc w:val="start"/>
              <w:rPr/>
            </w:pPr>
            <w:r>
              <w:rPr/>
              <w:t xml:space="preserve">43. 00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https://assignbuster.com/anti-t-gondii-igg-antibody-measurement/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Anti-t. gondii igg antibody measurement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t-gondii-igg-antibody-meas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Anti-t. gondii igg antibody measurement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 gondii igg antibody measurement</dc:title>
  <dc:subject>Others;</dc:subject>
  <dc:creator>AssignBuster</dc:creator>
  <cp:keywords/>
  <dc:description>The intensity of the fluorescence of which is proportional to the concentration of antibodies present in the sample.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