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"https://assignbuster.com/corrigendum-feasibility-and-diagnostic-accuracy-of-ischemic-stroke-territory-recognition-based-on-two-dimensional-projections-of-three-dimensional-diffusion-mri-data/"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feasibility and diagnostic accuracy of ischemic stroke territory rec...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Feasibility and Diagnostic Accuracy of Ischemic Stroke Territory Recognition Based on Two-dimensional Projections of Three-dimensional Diffusion MRI Data </w:t>
          <w:br/>
        </w:r>
        <w:r>
          <w:rPr>
            <w:rStyle w:val="a8"/>
            <w:i/>
          </w:rPr>
          <w:t xml:space="preserve">by Wrosch JK, Volbers B, Gölitz P, Gilbert DF, Schwab S, Dörfler A, et al. Front Neurol (2015) 6: 239. doi: 10. 3389/fneur. 2015. 00239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we neglected to state that this work was performed in partial fulfillment of the requirements for obtaining the degree “ Dr. rer. biol. hum.” at the University of Erlangen-Nuremberg. The authors apologize for this oversight.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error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https://assignbuster.com/corrigendum-feasibility-and-diagnostic-accuracy-of-ischemic-stroke-territory-recognition-based-on-two-dimensional-projections-of-three-dimensional-diffusion-mri-data/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feasibility and diagnostic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neur.2015.00239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feasibility and diagnostic accuracy of ischemic stroke territory rec...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feasibility and diagnostic accuracy of ischemic stroke territory rec...</dc:title>
  <dc:subject>Health &amp; Medicine;</dc:subject>
  <dc:creator>AssignBuster</dc:creator>
  <cp:keywords/>
  <dc:description>00239 In the original article, we neglected to state that this work was performed in partial fulfillment of the requirements for obtaining the degree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