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 hughes corporation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What does the debt to equity ratio tell us </w:t>
      </w:r>
    </w:p>
    <w:p>
      <w:pPr>
        <w:pStyle w:val="Heading2"/>
        <w:bidi w:val="0"/>
        <w:jc w:val="start"/>
        <w:rPr/>
      </w:pPr>
      <w:r>
        <w:rPr/>
        <w:t xml:space="preserve">Howard hughes real estate </w:t>
      </w:r>
    </w:p>
    <w:p>
      <w:pPr>
        <w:pStyle w:val="TextBody"/>
        <w:bidi w:val="0"/>
        <w:spacing w:before="0" w:after="283"/>
        <w:jc w:val="start"/>
        <w:rPr/>
      </w:pPr>
      <w:r>
        <w:rPr/>
        <w:t xml:space="preserve">Howard Hughes Corporation (HHC) is a real estate development and Management Company operating in Houston, Las Vegas and Maryland. Since its inception in 1913, it has posted a solid track record with significant improvements it is operating income. It mainly focuses on establishing business parks as well as shopping centers in Las Vegas. It also owns some malls and numerous residential homes with mixed-use buildings. It is also the owner of New York City South Street Seaport. Ideally, the company which is now the second largest mall operator in the country was on the verge of collapse in 2009 when it faced a distress in it credit market conditions. </w:t>
      </w:r>
    </w:p>
    <w:p>
      <w:pPr>
        <w:pStyle w:val="TextBody"/>
        <w:bidi w:val="0"/>
        <w:spacing w:before="0" w:after="283"/>
        <w:jc w:val="start"/>
        <w:rPr/>
      </w:pPr>
      <w:r>
        <w:rPr/>
        <w:t xml:space="preserve">Real estate is a highly class business-cycle sensitive asset class dynamic especially the constantly changing real estate prices. However, Howard Hughes has come out strongly as a trustable company which has worn the hearts of many investors especially from its strong developed a strong real estate portfolio and gained public trust. </w:t>
      </w:r>
    </w:p>
    <w:p>
      <w:pPr>
        <w:pStyle w:val="TextBody"/>
        <w:bidi w:val="0"/>
        <w:spacing w:before="0" w:after="283"/>
        <w:jc w:val="start"/>
        <w:rPr/>
      </w:pPr>
      <w:r>
        <w:rPr/>
        <w:t xml:space="preserve">The company develops, operates and sells properties in master planned communities. Through the sales it makes, it is able to generate massive revenue. Ideally, it has four key master planned communities in Houston, Las Vegas and Maryland in addition to the business segments it holds including operating assets (retail properties) as well as the real estate development portfolio. </w:t>
      </w:r>
    </w:p>
    <w:p>
      <w:pPr>
        <w:pStyle w:val="Heading2"/>
        <w:bidi w:val="0"/>
        <w:jc w:val="start"/>
        <w:rPr/>
      </w:pPr>
      <w:r>
        <w:rPr/>
        <w:t xml:space="preserve">Comparative Income Statement of HHC </w:t>
      </w:r>
    </w:p>
    <w:tbl>
      <w:tblPr>
        <w:tblW w:w="10172" w:type="dxa"/>
        <w:jc w:val="start"/>
        <w:tblInd w:w="0" w:type="dxa"/>
        <w:tblLayout w:type="fixed"/>
        <w:tblCellMar>
          <w:top w:w="28" w:type="dxa"/>
          <w:start w:w="28" w:type="dxa"/>
          <w:bottom w:w="28" w:type="dxa"/>
          <w:end w:w="28" w:type="dxa"/>
        </w:tblCellMar>
      </w:tblPr>
      <w:tblGrid>
        <w:gridCol w:w="2786"/>
        <w:gridCol w:w="1346"/>
        <w:gridCol w:w="1166"/>
        <w:gridCol w:w="1256"/>
        <w:gridCol w:w="1256"/>
        <w:gridCol w:w="1046"/>
        <w:gridCol w:w="1316"/>
      </w:tblGrid>
      <w:tr>
        <w:trPr/>
        <w:tc>
          <w:tcPr>
            <w:tcW w:w="10172" w:type="dxa"/>
            <w:gridSpan w:val="7"/>
            <w:tcBorders/>
            <w:vAlign w:val="center"/>
          </w:tcPr>
          <w:p>
            <w:pPr>
              <w:pStyle w:val="TableContents"/>
              <w:bidi w:val="0"/>
              <w:spacing w:before="0" w:after="283"/>
              <w:jc w:val="start"/>
              <w:rPr/>
            </w:pPr>
            <w:r>
              <w:rPr/>
              <w:t xml:space="preserve">THE HOWARD HUGHES CORP  (HHC) </w:t>
            </w:r>
          </w:p>
        </w:tc>
      </w:tr>
      <w:tr>
        <w:trPr/>
        <w:tc>
          <w:tcPr>
            <w:tcW w:w="10172" w:type="dxa"/>
            <w:gridSpan w:val="7"/>
            <w:tcBorders/>
            <w:vAlign w:val="center"/>
          </w:tcPr>
          <w:p>
            <w:pPr>
              <w:pStyle w:val="TableContents"/>
              <w:bidi w:val="0"/>
              <w:spacing w:before="0" w:after="283"/>
              <w:jc w:val="start"/>
              <w:rPr/>
            </w:pPr>
            <w:r>
              <w:rPr/>
              <w:t xml:space="preserve">Fiscal year ends in December. USD in millions except per share data.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1346"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1166"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1256"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1256"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2362" w:type="dxa"/>
            <w:gridSpan w:val="2"/>
            <w:tcBorders/>
            <w:tcMar>
              <w:top w:w="0" w:type="dxa"/>
              <w:start w:w="0" w:type="dxa"/>
              <w:bottom w:w="0" w:type="dxa"/>
              <w:end w:w="0" w:type="dxa"/>
            </w:tcMar>
            <w:vAlign w:val="center"/>
          </w:tcPr>
          <w:p>
            <w:pPr>
              <w:pStyle w:val="TableContents"/>
              <w:bidi w:val="0"/>
              <w:spacing w:before="0" w:after="283"/>
              <w:jc w:val="start"/>
              <w:rPr/>
            </w:pPr>
            <w:r>
              <w:rPr/>
              <w:t xml:space="preserve">Difference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2012-12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2016-12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2012-12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2016-12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Revenue </w:t>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100. 00%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100. 00%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377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1035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658. 00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174. 54%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Expenses </w:t>
            </w:r>
          </w:p>
        </w:tc>
        <w:tc>
          <w:tcPr>
            <w:tcW w:w="1346"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1166"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1256"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1256"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0. 00 </w:t>
            </w:r>
          </w:p>
        </w:tc>
        <w:tc>
          <w:tcPr>
            <w:tcW w:w="1316"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Operating expenses </w:t>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65. 25%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48. 41%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246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501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255. 00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103. 66%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Depreciation and amortization </w:t>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6. 37%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9. 28%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24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96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72. 00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300. 00%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Sales, General and administrative </w:t>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9. 02%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10. 72%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34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111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77. 00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226. 47%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Total expenses </w:t>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80. 64%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68. 41%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304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708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404. 00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132. 89%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Operating income </w:t>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19. 10%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31. 59%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72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327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255. 00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354. 17%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Interest income </w:t>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2. 39%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0. 10%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9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1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-8. 00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-88. 89%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Interest expenses </w:t>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0. 27%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6. 38%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1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66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65. 00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6500%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Other income (expense) </w:t>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-53. 58%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5. 60%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-202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58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260. 00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-128. 71%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Income before income taxes </w:t>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-32. 10%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31. 01%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-121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321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442. 00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-365. 29%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Provision for income taxes </w:t>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1. 86%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11. 40%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7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118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111. 00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1585. 71%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Net income from continuing operations </w:t>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-33. 95%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19. 52%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-128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202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330. 00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-257. 81%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Other </w:t>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-0. 27%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0. 00%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-1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0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1. 00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-100. 00%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Net income </w:t>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-33. 95%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19. 52%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-128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202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330. 00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-257. 81%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Net income available to common shareholders </w:t>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-33. 95%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19. 52%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-128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202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330. 00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-257. 81%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Earnings per share </w:t>
            </w:r>
          </w:p>
        </w:tc>
        <w:tc>
          <w:tcPr>
            <w:tcW w:w="1346"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1166"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1256"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1256"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1046"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c>
          <w:tcPr>
            <w:tcW w:w="1316"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Basic </w:t>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-3. 36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5. 12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-3. 36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5. 12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8. 48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-252. 38% </w:t>
            </w:r>
          </w:p>
        </w:tc>
      </w:tr>
      <w:tr>
        <w:trPr/>
        <w:tc>
          <w:tcPr>
            <w:tcW w:w="2786" w:type="dxa"/>
            <w:tcBorders/>
            <w:tcMar>
              <w:top w:w="0" w:type="dxa"/>
              <w:start w:w="0" w:type="dxa"/>
              <w:bottom w:w="0" w:type="dxa"/>
              <w:end w:w="0" w:type="dxa"/>
            </w:tcMar>
            <w:vAlign w:val="center"/>
          </w:tcPr>
          <w:p>
            <w:pPr>
              <w:pStyle w:val="TableContents"/>
              <w:bidi w:val="0"/>
              <w:spacing w:before="0" w:after="283"/>
              <w:jc w:val="start"/>
              <w:rPr/>
            </w:pPr>
            <w:r>
              <w:rPr/>
              <w:t xml:space="preserve">Diluted </w:t>
            </w:r>
          </w:p>
        </w:tc>
        <w:tc>
          <w:tcPr>
            <w:tcW w:w="1346" w:type="dxa"/>
            <w:tcBorders/>
            <w:tcMar>
              <w:top w:w="0" w:type="dxa"/>
              <w:start w:w="0" w:type="dxa"/>
              <w:bottom w:w="0" w:type="dxa"/>
              <w:end w:w="0" w:type="dxa"/>
            </w:tcMar>
            <w:vAlign w:val="center"/>
          </w:tcPr>
          <w:p>
            <w:pPr>
              <w:pStyle w:val="TableContents"/>
              <w:bidi w:val="0"/>
              <w:spacing w:before="0" w:after="283"/>
              <w:jc w:val="start"/>
              <w:rPr/>
            </w:pPr>
            <w:r>
              <w:rPr/>
              <w:t xml:space="preserve">-3. 36 </w:t>
            </w:r>
          </w:p>
        </w:tc>
        <w:tc>
          <w:tcPr>
            <w:tcW w:w="1166" w:type="dxa"/>
            <w:tcBorders/>
            <w:tcMar>
              <w:top w:w="0" w:type="dxa"/>
              <w:start w:w="0" w:type="dxa"/>
              <w:bottom w:w="0" w:type="dxa"/>
              <w:end w:w="0" w:type="dxa"/>
            </w:tcMar>
            <w:vAlign w:val="center"/>
          </w:tcPr>
          <w:p>
            <w:pPr>
              <w:pStyle w:val="TableContents"/>
              <w:bidi w:val="0"/>
              <w:spacing w:before="0" w:after="283"/>
              <w:jc w:val="start"/>
              <w:rPr/>
            </w:pPr>
            <w:r>
              <w:rPr/>
              <w:t xml:space="preserve">4. 73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-3. 36 </w:t>
            </w:r>
          </w:p>
        </w:tc>
        <w:tc>
          <w:tcPr>
            <w:tcW w:w="1256" w:type="dxa"/>
            <w:tcBorders/>
            <w:tcMar>
              <w:top w:w="0" w:type="dxa"/>
              <w:start w:w="0" w:type="dxa"/>
              <w:bottom w:w="0" w:type="dxa"/>
              <w:end w:w="0" w:type="dxa"/>
            </w:tcMar>
            <w:vAlign w:val="center"/>
          </w:tcPr>
          <w:p>
            <w:pPr>
              <w:pStyle w:val="TableContents"/>
              <w:bidi w:val="0"/>
              <w:spacing w:before="0" w:after="283"/>
              <w:jc w:val="start"/>
              <w:rPr/>
            </w:pPr>
            <w:r>
              <w:rPr/>
              <w:t xml:space="preserve">4. 73 </w:t>
            </w:r>
          </w:p>
        </w:tc>
        <w:tc>
          <w:tcPr>
            <w:tcW w:w="1046" w:type="dxa"/>
            <w:tcBorders/>
            <w:tcMar>
              <w:top w:w="0" w:type="dxa"/>
              <w:start w:w="0" w:type="dxa"/>
              <w:bottom w:w="0" w:type="dxa"/>
              <w:end w:w="0" w:type="dxa"/>
            </w:tcMar>
            <w:vAlign w:val="center"/>
          </w:tcPr>
          <w:p>
            <w:pPr>
              <w:pStyle w:val="TableContents"/>
              <w:bidi w:val="0"/>
              <w:spacing w:before="0" w:after="283"/>
              <w:jc w:val="start"/>
              <w:rPr/>
            </w:pPr>
            <w:r>
              <w:rPr/>
              <w:t xml:space="preserve">8. 09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-240. 77%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https://assignbuster.com/howard-hughes-corporation-essay/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 hughes corporation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hughes-corpo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hughes corporation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hughes corporation essay</dc:title>
  <dc:subject>Others;</dc:subject>
  <dc:creator>AssignBuster</dc:creator>
  <cp:keywords/>
  <dc:description>00 -128.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