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Unii:24gnz56d62 c10h16cln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58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59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16 </w:t>
            </w:r>
            <w:r>
              <w:rPr/>
              <w:t xml:space="preserve">ClN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185. 694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83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356"/>
      </w:tblGrid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133-135 °COxford University Chemical Safety Data (No longer updated)More details </w:t>
            </w:r>
          </w:p>
        </w:tc>
      </w:tr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131-135 °CLabNetworkLN01296979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5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571"/>
      </w:tblGrid>
      <w:tr>
        <w:trPr/>
        <w:tc>
          <w:tcPr>
            <w:tcW w:w="9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crystalline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Sensitive to prolonged exposure to light. Incompatiblewith strong oxidizing agents. Combustible.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ORL-MUS LD50 143 mg kg-1, IPR-RAT LD50 55 mg kg-1, IPR-MUS LD50 57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Excessive use of this drugmay lead to tolerance, and ultimately physical dependence. Oxford University Chemical Safety Data (No longer updated)More details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ACD/Labs Percepta Platform – PhysChem Module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https://assignbuster.com/unii24gnz56d62-c10h16cln-structure/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Unii:24gnz56d62 c10h16cln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i24gnz56d62-c10h16cl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Unii:24gnz56d62 c10h16cln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Unii:24gnz56d62 c10h16cln structure</dc:title>
  <dc:subject>Others;</dc:subject>
  <dc:creator>AssignBuster</dc:creator>
  <cp:keywords/>
  <dc:description>Contents Safety: Molecular Formula C 10 H 16 ClN Average mass 185.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