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Results chapter on cmv infection research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study has been conducted on 366 patients with suspected CMV infection attending pediatric department at Zagazig University Hospital.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(1): Age distribution of the studied patients (except for neonates with congenital anomalies) (N= 344) </w:t>
      </w:r>
    </w:p>
    <w:tbl>
      <w:tblPr>
        <w:tblW w:w="415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71"/>
        <w:gridCol w:w="1479"/>
        <w:gridCol w:w="501"/>
      </w:tblGrid>
      <w:tr>
        <w:trPr/>
        <w:tc>
          <w:tcPr>
            <w:tcW w:w="365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Studied patients (N= 344) </w:t>
            </w:r>
          </w:p>
        </w:tc>
        <w:tc>
          <w:tcPr>
            <w:tcW w:w="501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4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501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51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Age (years) </w:t>
            </w:r>
          </w:p>
        </w:tc>
      </w:tr>
      <w:tr>
        <w:trPr/>
        <w:tc>
          <w:tcPr>
            <w:tcW w:w="21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Mean ± SD 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9. 9 ± 3. 4 </w:t>
            </w:r>
          </w:p>
        </w:tc>
      </w:tr>
      <w:tr>
        <w:trPr/>
        <w:tc>
          <w:tcPr>
            <w:tcW w:w="21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Median (Range) 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0 (3. 5 – 18. 0)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The mean age and standard deviation (SD) of ages of the studied patients (except for neonates with congenital anomalies) in years as shown intable (1)was 9. 9 ± 3.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(2): Age distribution of neonates with congenital anomalies (N= 22) </w:t>
      </w:r>
    </w:p>
    <w:tbl>
      <w:tblPr>
        <w:tblW w:w="6018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78"/>
        <w:gridCol w:w="1284"/>
        <w:gridCol w:w="456"/>
      </w:tblGrid>
      <w:tr>
        <w:trPr/>
        <w:tc>
          <w:tcPr>
            <w:tcW w:w="5562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Studied patients (N= 22) </w:t>
            </w:r>
          </w:p>
        </w:tc>
        <w:tc>
          <w:tcPr>
            <w:tcW w:w="456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2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456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18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Age of neonateswith congenital anomalies group (days) </w:t>
            </w:r>
          </w:p>
        </w:tc>
      </w:tr>
      <w:tr>
        <w:trPr/>
        <w:tc>
          <w:tcPr>
            <w:tcW w:w="4278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Mean ± SD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Median (Range) </w:t>
            </w:r>
          </w:p>
        </w:tc>
        <w:tc>
          <w:tcPr>
            <w:tcW w:w="1740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4. 1 ± 1. 6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0 (2. 0 – 7. 0)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Table (2)shows that The mean age and standard deviation (SD) of ages ofneonates with congenital anomalieswere4. 1 ± 1. 6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(3): Sex distribution of the studied patients (N= 366) </w:t>
      </w:r>
    </w:p>
    <w:tbl>
      <w:tblPr>
        <w:tblW w:w="351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37"/>
        <w:gridCol w:w="988"/>
        <w:gridCol w:w="886"/>
      </w:tblGrid>
      <w:tr>
        <w:trPr/>
        <w:tc>
          <w:tcPr>
            <w:tcW w:w="2625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Studied patients (N= 366) </w:t>
            </w:r>
          </w:p>
        </w:tc>
        <w:tc>
          <w:tcPr>
            <w:tcW w:w="886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9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886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11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Sex </w:t>
            </w:r>
          </w:p>
        </w:tc>
      </w:tr>
      <w:tr>
        <w:trPr/>
        <w:tc>
          <w:tcPr>
            <w:tcW w:w="16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Male </w:t>
            </w:r>
          </w:p>
        </w:tc>
        <w:tc>
          <w:tcPr>
            <w:tcW w:w="9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202 </w:t>
            </w:r>
          </w:p>
        </w:tc>
        <w:tc>
          <w:tcPr>
            <w:tcW w:w="8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55. 2% </w:t>
            </w:r>
          </w:p>
        </w:tc>
      </w:tr>
      <w:tr>
        <w:trPr/>
        <w:tc>
          <w:tcPr>
            <w:tcW w:w="16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Female </w:t>
            </w:r>
          </w:p>
        </w:tc>
        <w:tc>
          <w:tcPr>
            <w:tcW w:w="9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164 </w:t>
            </w:r>
          </w:p>
        </w:tc>
        <w:tc>
          <w:tcPr>
            <w:tcW w:w="8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44. 8%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Table(3) shows that 55. 2% (202 out of 366) of the studied patients were males, while 44. 8% were females.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(1): Pie diagram showing sex distribution of the studied patients (N= 366)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(4): Distribution of the risk factors among the studied patients (N= 366)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839"/>
        <w:gridCol w:w="536"/>
        <w:gridCol w:w="696"/>
      </w:tblGrid>
      <w:tr>
        <w:trPr/>
        <w:tc>
          <w:tcPr>
            <w:tcW w:w="4839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Risk factors </w:t>
            </w:r>
          </w:p>
        </w:tc>
        <w:tc>
          <w:tcPr>
            <w:tcW w:w="1232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Studied patients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366) </w:t>
            </w:r>
          </w:p>
        </w:tc>
      </w:tr>
      <w:tr>
        <w:trPr/>
        <w:tc>
          <w:tcPr>
            <w:tcW w:w="4839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</w:tr>
      <w:tr>
        <w:trPr/>
        <w:tc>
          <w:tcPr>
            <w:tcW w:w="483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Malignant hematological disease with chemotherapy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11. 7 % </w:t>
            </w:r>
          </w:p>
        </w:tc>
      </w:tr>
      <w:tr>
        <w:trPr/>
        <w:tc>
          <w:tcPr>
            <w:tcW w:w="483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repeated blood transfusion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164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44. 8 % </w:t>
            </w:r>
          </w:p>
        </w:tc>
      </w:tr>
      <w:tr>
        <w:trPr/>
        <w:tc>
          <w:tcPr>
            <w:tcW w:w="483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of unknown origin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4. 4 % </w:t>
            </w:r>
          </w:p>
        </w:tc>
      </w:tr>
      <w:tr>
        <w:trPr/>
        <w:tc>
          <w:tcPr>
            <w:tcW w:w="483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Critically ill patients lying in the ICUs with prolonged hospitalization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7. 7 % </w:t>
            </w:r>
          </w:p>
        </w:tc>
      </w:tr>
      <w:tr>
        <w:trPr/>
        <w:tc>
          <w:tcPr>
            <w:tcW w:w="483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corticosteroids or other immunosuppressives for long period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6 % </w:t>
            </w:r>
          </w:p>
        </w:tc>
      </w:tr>
      <w:tr>
        <w:trPr/>
        <w:tc>
          <w:tcPr>
            <w:tcW w:w="483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Chronic renal failure with haemodialysis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17. 5 % </w:t>
            </w:r>
          </w:p>
        </w:tc>
      </w:tr>
      <w:tr>
        <w:trPr/>
        <w:tc>
          <w:tcPr>
            <w:tcW w:w="483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with pancytopenia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1. 9 % </w:t>
            </w:r>
          </w:p>
        </w:tc>
      </w:tr>
      <w:tr>
        <w:trPr/>
        <w:tc>
          <w:tcPr>
            <w:tcW w:w="483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Neonates with congenital anomalies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 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As shown intable (4)andfigure (2), 44. 8% of the studied patients were receiving repeated blood transfusion, 17. 5% were suffering from chronic renal failure and receiving haemodialysis, 11. 7% were suffering from Malignant hematological disease and receiving chemotherapy, 7. 7% were critically ill patients lying in the ICUs with prolonged hospitalization, 6% were receiving immunosuppressive agents for long period, 6% were  neonates with congenital anomalies, 4. 4% had fever of unknown origin, and 1. 9% suffered from fever with pancytopenia.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(2): Pie diagram showing Distribution of the risk factors in the studied patients (N= 366).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(5): Results of ELISA IgM and IgG for CMV in the enrolled patients (N= 366) </w:t>
      </w:r>
    </w:p>
    <w:tbl>
      <w:tblPr>
        <w:tblW w:w="5133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23"/>
        <w:gridCol w:w="611"/>
        <w:gridCol w:w="1099"/>
      </w:tblGrid>
      <w:tr>
        <w:trPr/>
        <w:tc>
          <w:tcPr>
            <w:tcW w:w="34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ELISA results </w:t>
            </w:r>
          </w:p>
        </w:tc>
        <w:tc>
          <w:tcPr>
            <w:tcW w:w="1710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Studied patients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366) </w:t>
            </w:r>
          </w:p>
        </w:tc>
      </w:tr>
      <w:tr>
        <w:trPr/>
        <w:tc>
          <w:tcPr>
            <w:tcW w:w="5133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IgM </w:t>
            </w:r>
          </w:p>
        </w:tc>
      </w:tr>
      <w:tr>
        <w:trPr/>
        <w:tc>
          <w:tcPr>
            <w:tcW w:w="342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</w:t>
            </w:r>
          </w:p>
        </w:tc>
        <w:tc>
          <w:tcPr>
            <w:tcW w:w="10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16. 4 % </w:t>
            </w:r>
          </w:p>
        </w:tc>
      </w:tr>
      <w:tr>
        <w:trPr/>
        <w:tc>
          <w:tcPr>
            <w:tcW w:w="342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306 </w:t>
            </w:r>
          </w:p>
        </w:tc>
        <w:tc>
          <w:tcPr>
            <w:tcW w:w="10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83. 6 % </w:t>
            </w:r>
          </w:p>
        </w:tc>
      </w:tr>
      <w:tr>
        <w:trPr/>
        <w:tc>
          <w:tcPr>
            <w:tcW w:w="5133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IgG </w:t>
            </w:r>
          </w:p>
        </w:tc>
      </w:tr>
      <w:tr>
        <w:trPr/>
        <w:tc>
          <w:tcPr>
            <w:tcW w:w="342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 </w:t>
            </w:r>
          </w:p>
        </w:tc>
        <w:tc>
          <w:tcPr>
            <w:tcW w:w="10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25. 4 % </w:t>
            </w:r>
          </w:p>
        </w:tc>
      </w:tr>
      <w:tr>
        <w:trPr/>
        <w:tc>
          <w:tcPr>
            <w:tcW w:w="342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273 </w:t>
            </w:r>
          </w:p>
        </w:tc>
        <w:tc>
          <w:tcPr>
            <w:tcW w:w="10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74. 6 % </w:t>
            </w:r>
          </w:p>
        </w:tc>
      </w:tr>
      <w:tr>
        <w:trPr/>
        <w:tc>
          <w:tcPr>
            <w:tcW w:w="5133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Over all seropositivity </w:t>
            </w:r>
          </w:p>
        </w:tc>
      </w:tr>
      <w:tr>
        <w:trPr/>
        <w:tc>
          <w:tcPr>
            <w:tcW w:w="342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both IgM and IgG 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 </w:t>
            </w:r>
          </w:p>
        </w:tc>
        <w:tc>
          <w:tcPr>
            <w:tcW w:w="10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29. 8 %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As shown intable (5), out of the 366 studied patients, 60 (16. 4%) and 93 (25. 4%) were positive for CMV IgM and IgG in an ELISA test respectively.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(6): Agreement between ELISA IgM and IgG in the studied patients (N= 366)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86"/>
        <w:gridCol w:w="476"/>
        <w:gridCol w:w="541"/>
        <w:gridCol w:w="971"/>
        <w:gridCol w:w="884"/>
        <w:gridCol w:w="629"/>
        <w:gridCol w:w="675"/>
        <w:gridCol w:w="909"/>
      </w:tblGrid>
      <w:tr>
        <w:trPr/>
        <w:tc>
          <w:tcPr>
            <w:tcW w:w="2003" w:type="dxa"/>
            <w:gridSpan w:val="3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ELISA IgM </w:t>
            </w:r>
          </w:p>
        </w:tc>
        <w:tc>
          <w:tcPr>
            <w:tcW w:w="1855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ELISA IgG </w:t>
            </w:r>
          </w:p>
        </w:tc>
        <w:tc>
          <w:tcPr>
            <w:tcW w:w="629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Total </w:t>
            </w:r>
          </w:p>
        </w:tc>
        <w:tc>
          <w:tcPr>
            <w:tcW w:w="675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#Test </w:t>
            </w:r>
          </w:p>
        </w:tc>
        <w:tc>
          <w:tcPr>
            <w:tcW w:w="909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P-value </w:t>
            </w:r>
          </w:p>
        </w:tc>
      </w:tr>
      <w:tr>
        <w:trPr/>
        <w:tc>
          <w:tcPr>
            <w:tcW w:w="2003" w:type="dxa"/>
            <w:gridSpan w:val="3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Negative </w:t>
            </w:r>
          </w:p>
        </w:tc>
        <w:tc>
          <w:tcPr>
            <w:tcW w:w="8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Positive </w:t>
            </w:r>
          </w:p>
        </w:tc>
        <w:tc>
          <w:tcPr>
            <w:tcW w:w="629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9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6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Negative </w:t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257 </w:t>
            </w:r>
          </w:p>
        </w:tc>
        <w:tc>
          <w:tcPr>
            <w:tcW w:w="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 </w:t>
            </w:r>
          </w:p>
        </w:tc>
        <w:tc>
          <w:tcPr>
            <w:tcW w:w="8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306 </w:t>
            </w:r>
          </w:p>
        </w:tc>
        <w:tc>
          <w:tcPr>
            <w:tcW w:w="629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0. 469 </w:t>
            </w:r>
          </w:p>
        </w:tc>
        <w:tc>
          <w:tcPr>
            <w:tcW w:w="675" w:type="dxa"/>
            <w:vMerge w:val="restart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0. 000*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(HS) </w:t>
            </w:r>
          </w:p>
        </w:tc>
        <w:tc>
          <w:tcPr>
            <w:tcW w:w="909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94. 1 % </w:t>
            </w:r>
          </w:p>
        </w:tc>
        <w:tc>
          <w:tcPr>
            <w:tcW w:w="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52. 7 % </w:t>
            </w:r>
          </w:p>
        </w:tc>
        <w:tc>
          <w:tcPr>
            <w:tcW w:w="8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83. 6 % </w:t>
            </w:r>
          </w:p>
        </w:tc>
        <w:tc>
          <w:tcPr>
            <w:tcW w:w="629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9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6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Positive </w:t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 </w:t>
            </w:r>
          </w:p>
        </w:tc>
        <w:tc>
          <w:tcPr>
            <w:tcW w:w="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 </w:t>
            </w:r>
          </w:p>
        </w:tc>
        <w:tc>
          <w:tcPr>
            <w:tcW w:w="8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</w:t>
            </w:r>
          </w:p>
        </w:tc>
        <w:tc>
          <w:tcPr>
            <w:tcW w:w="629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9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5. 9 % </w:t>
            </w:r>
          </w:p>
        </w:tc>
        <w:tc>
          <w:tcPr>
            <w:tcW w:w="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47. 3 % </w:t>
            </w:r>
          </w:p>
        </w:tc>
        <w:tc>
          <w:tcPr>
            <w:tcW w:w="8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16. 4 % </w:t>
            </w:r>
          </w:p>
        </w:tc>
        <w:tc>
          <w:tcPr>
            <w:tcW w:w="629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9" w:type="dxa"/>
            <w:tcBorders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2" w:type="dxa"/>
            <w:gridSpan w:val="2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Total 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273 </w:t>
            </w:r>
          </w:p>
        </w:tc>
        <w:tc>
          <w:tcPr>
            <w:tcW w:w="8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 </w:t>
            </w:r>
          </w:p>
        </w:tc>
        <w:tc>
          <w:tcPr>
            <w:tcW w:w="629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366 </w:t>
            </w:r>
          </w:p>
        </w:tc>
      </w:tr>
      <w:tr>
        <w:trPr/>
        <w:tc>
          <w:tcPr>
            <w:tcW w:w="1462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100. 0 % </w:t>
            </w:r>
          </w:p>
        </w:tc>
        <w:tc>
          <w:tcPr>
            <w:tcW w:w="8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100. 0 % </w:t>
            </w:r>
          </w:p>
        </w:tc>
        <w:tc>
          <w:tcPr>
            <w:tcW w:w="629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100. 0 %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#   Kappa measure of agreement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&lt; 0. 05 is significant.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Statistical Significance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for strength of agreement for the kappa coefficient: </w:t>
      </w:r>
    </w:p>
    <w:p>
      <w:pPr>
        <w:pStyle w:val="TextBody"/>
        <w:bidi w:val="0"/>
        <w:spacing w:before="0" w:after="283"/>
        <w:jc w:val="start"/>
        <w:rPr/>
      </w:pPr>
      <w:r>
        <w:rPr/>
        <w:t>≤</w:t>
      </w:r>
      <w:r>
        <w:rPr/>
        <w:t xml:space="preserve">0= poor,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01-. 20= slight,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21-. 40= fair,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41-. 60= moderate,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61-. 80= substantial,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81-1= almost perfect.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6shows that there is a moderate agreement between ELISA IgM and IgG in the detection of CMV in children with high statistical significance.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(7): Prevalence of CMV IgM seropositivity among different risk groups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25"/>
        <w:gridCol w:w="584"/>
        <w:gridCol w:w="542"/>
        <w:gridCol w:w="620"/>
      </w:tblGrid>
      <w:tr>
        <w:trPr/>
        <w:tc>
          <w:tcPr>
            <w:tcW w:w="4325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Risk Factors </w:t>
            </w:r>
          </w:p>
        </w:tc>
        <w:tc>
          <w:tcPr>
            <w:tcW w:w="584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162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Studied patients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366) </w:t>
            </w:r>
          </w:p>
        </w:tc>
      </w:tr>
      <w:tr>
        <w:trPr/>
        <w:tc>
          <w:tcPr>
            <w:tcW w:w="432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2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Positive IgM </w:t>
            </w:r>
          </w:p>
        </w:tc>
      </w:tr>
      <w:tr>
        <w:trPr/>
        <w:tc>
          <w:tcPr>
            <w:tcW w:w="432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Malignant hematological disease with chemotherapy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(43) 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18. 6 %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repeated blood transfusion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(164) 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21. 9 %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of unknown origin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(16) 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Critically ill patients lying in the ICUs with prolonged hospitalization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(28) 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corticosteroids or other immunosuppressives for long period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Chronic renal failure with haemodialysis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(64) 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12. 5 %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with pancytopenia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(7) 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Neonates with congenital anomalies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Table (7)andfigure (3)show that the highest prevalence (50%) of CMV IgM seropositivity was reported from patients suffering from fever of unknown origin.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(3): Bar chart showing prevalence of CMV IgM seropositivity among different risk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(8): Association between CMV IgM seropositivity and different risk factors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91"/>
        <w:gridCol w:w="545"/>
        <w:gridCol w:w="510"/>
        <w:gridCol w:w="365"/>
        <w:gridCol w:w="526"/>
        <w:gridCol w:w="449"/>
        <w:gridCol w:w="524"/>
        <w:gridCol w:w="861"/>
      </w:tblGrid>
      <w:tr>
        <w:trPr/>
        <w:tc>
          <w:tcPr>
            <w:tcW w:w="2291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Risk factors </w:t>
            </w:r>
          </w:p>
        </w:tc>
        <w:tc>
          <w:tcPr>
            <w:tcW w:w="545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850" w:type="dxa"/>
            <w:gridSpan w:val="4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Studied patients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366) </w:t>
            </w:r>
          </w:p>
        </w:tc>
        <w:tc>
          <w:tcPr>
            <w:tcW w:w="524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Test </w:t>
            </w:r>
          </w:p>
        </w:tc>
        <w:tc>
          <w:tcPr>
            <w:tcW w:w="861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p-value </w:t>
            </w:r>
          </w:p>
        </w:tc>
      </w:tr>
      <w:tr>
        <w:trPr/>
        <w:tc>
          <w:tcPr>
            <w:tcW w:w="229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50" w:type="dxa"/>
            <w:gridSpan w:val="4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ELISA IgM </w:t>
            </w:r>
          </w:p>
        </w:tc>
        <w:tc>
          <w:tcPr>
            <w:tcW w:w="52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9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5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Positive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60) </w:t>
            </w:r>
          </w:p>
        </w:tc>
        <w:tc>
          <w:tcPr>
            <w:tcW w:w="975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Negative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306) </w:t>
            </w:r>
          </w:p>
        </w:tc>
        <w:tc>
          <w:tcPr>
            <w:tcW w:w="52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9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3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4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52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91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Malignant hematological disease with chemotherapy </w:t>
            </w:r>
          </w:p>
        </w:tc>
        <w:tc>
          <w:tcPr>
            <w:tcW w:w="5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(43) </w:t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3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18. 6 % </w:t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 </w:t>
            </w:r>
          </w:p>
        </w:tc>
        <w:tc>
          <w:tcPr>
            <w:tcW w:w="4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81. 4% </w:t>
            </w:r>
          </w:p>
        </w:tc>
        <w:tc>
          <w:tcPr>
            <w:tcW w:w="524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#11. 17 </w:t>
            </w:r>
          </w:p>
        </w:tc>
        <w:tc>
          <w:tcPr>
            <w:tcW w:w="861" w:type="dxa"/>
            <w:vMerge w:val="restart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0. 010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(S) </w:t>
            </w:r>
          </w:p>
        </w:tc>
      </w:tr>
      <w:tr>
        <w:trPr/>
        <w:tc>
          <w:tcPr>
            <w:tcW w:w="2291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repeated blood transfusion </w:t>
            </w:r>
          </w:p>
        </w:tc>
        <w:tc>
          <w:tcPr>
            <w:tcW w:w="5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(164) </w:t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 </w:t>
            </w:r>
          </w:p>
        </w:tc>
        <w:tc>
          <w:tcPr>
            <w:tcW w:w="3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21. 9 % </w:t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 </w:t>
            </w:r>
          </w:p>
        </w:tc>
        <w:tc>
          <w:tcPr>
            <w:tcW w:w="4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78% </w:t>
            </w:r>
          </w:p>
        </w:tc>
        <w:tc>
          <w:tcPr>
            <w:tcW w:w="52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91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of unknown origin </w:t>
            </w:r>
          </w:p>
        </w:tc>
        <w:tc>
          <w:tcPr>
            <w:tcW w:w="5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(16) </w:t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3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50 % </w:t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4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50% </w:t>
            </w:r>
          </w:p>
        </w:tc>
        <w:tc>
          <w:tcPr>
            <w:tcW w:w="52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91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Chronic renal failure with haemodialysis </w:t>
            </w:r>
          </w:p>
        </w:tc>
        <w:tc>
          <w:tcPr>
            <w:tcW w:w="5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(64) </w:t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3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12. 5 % </w:t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 </w:t>
            </w:r>
          </w:p>
        </w:tc>
        <w:tc>
          <w:tcPr>
            <w:tcW w:w="4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87. 5% </w:t>
            </w:r>
          </w:p>
        </w:tc>
        <w:tc>
          <w:tcPr>
            <w:tcW w:w="52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#   chi square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&lt; 0. 05 is significant.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*statistical Significance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(9): Prevalence of CMV IgG seropositivity among different risk groups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88"/>
        <w:gridCol w:w="481"/>
        <w:gridCol w:w="240"/>
        <w:gridCol w:w="326"/>
        <w:gridCol w:w="34"/>
        <w:gridCol w:w="1002"/>
      </w:tblGrid>
      <w:tr>
        <w:trPr/>
        <w:tc>
          <w:tcPr>
            <w:tcW w:w="3988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Risk factors </w:t>
            </w:r>
          </w:p>
        </w:tc>
        <w:tc>
          <w:tcPr>
            <w:tcW w:w="481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602" w:type="dxa"/>
            <w:gridSpan w:val="4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Studied patients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366) </w:t>
            </w:r>
          </w:p>
        </w:tc>
      </w:tr>
      <w:tr>
        <w:trPr/>
        <w:tc>
          <w:tcPr>
            <w:tcW w:w="3988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2" w:type="dxa"/>
            <w:gridSpan w:val="4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Positive IgG </w:t>
            </w:r>
          </w:p>
        </w:tc>
      </w:tr>
      <w:tr>
        <w:trPr/>
        <w:tc>
          <w:tcPr>
            <w:tcW w:w="3988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03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</w:tr>
      <w:tr>
        <w:trPr/>
        <w:tc>
          <w:tcPr>
            <w:tcW w:w="398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Malignant hematological disease with chemotherapy </w:t>
            </w:r>
          </w:p>
        </w:tc>
        <w:tc>
          <w:tcPr>
            <w:tcW w:w="72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(43) </w:t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  <w:tr>
        <w:trPr/>
        <w:tc>
          <w:tcPr>
            <w:tcW w:w="398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repeated blood transfusion </w:t>
            </w:r>
          </w:p>
        </w:tc>
        <w:tc>
          <w:tcPr>
            <w:tcW w:w="72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(164) </w:t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 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38. 4 % </w:t>
            </w:r>
          </w:p>
        </w:tc>
      </w:tr>
      <w:tr>
        <w:trPr/>
        <w:tc>
          <w:tcPr>
            <w:tcW w:w="398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of unknown origin </w:t>
            </w:r>
          </w:p>
        </w:tc>
        <w:tc>
          <w:tcPr>
            <w:tcW w:w="72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(16) </w:t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  <w:tr>
        <w:trPr/>
        <w:tc>
          <w:tcPr>
            <w:tcW w:w="398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Critically ill patients lying in the ICUs with prolonged hospitalization </w:t>
            </w:r>
          </w:p>
        </w:tc>
        <w:tc>
          <w:tcPr>
            <w:tcW w:w="72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(28) </w:t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  <w:tr>
        <w:trPr/>
        <w:tc>
          <w:tcPr>
            <w:tcW w:w="398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corticosteroids or other immunosuppressives for long period </w:t>
            </w:r>
          </w:p>
        </w:tc>
        <w:tc>
          <w:tcPr>
            <w:tcW w:w="72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  <w:tr>
        <w:trPr/>
        <w:tc>
          <w:tcPr>
            <w:tcW w:w="398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Chronic renal failure with haemodialysis </w:t>
            </w:r>
          </w:p>
        </w:tc>
        <w:tc>
          <w:tcPr>
            <w:tcW w:w="72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(64) </w:t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12. 5 % </w:t>
            </w:r>
          </w:p>
        </w:tc>
      </w:tr>
      <w:tr>
        <w:trPr/>
        <w:tc>
          <w:tcPr>
            <w:tcW w:w="398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with pancytopenia </w:t>
            </w:r>
          </w:p>
        </w:tc>
        <w:tc>
          <w:tcPr>
            <w:tcW w:w="72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(7) </w:t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</w:tr>
      <w:tr>
        <w:trPr/>
        <w:tc>
          <w:tcPr>
            <w:tcW w:w="398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Neonates with congenital anomalies </w:t>
            </w:r>
          </w:p>
        </w:tc>
        <w:tc>
          <w:tcPr>
            <w:tcW w:w="72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 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Table (9)andfigure (4)show that the highest prevalence (100%) of CMV IgG seropositivity was reported from neonates with congenital anomalies.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(4): Bar chart showing prevalence of CMV IgG seropositivity among different risk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(10): Association between CMV IgG seropositivity and different risk factors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3"/>
        <w:gridCol w:w="541"/>
        <w:gridCol w:w="31"/>
        <w:gridCol w:w="315"/>
        <w:gridCol w:w="252"/>
        <w:gridCol w:w="214"/>
        <w:gridCol w:w="227"/>
        <w:gridCol w:w="239"/>
        <w:gridCol w:w="239"/>
        <w:gridCol w:w="239"/>
        <w:gridCol w:w="244"/>
        <w:gridCol w:w="255"/>
        <w:gridCol w:w="256"/>
        <w:gridCol w:w="856"/>
      </w:tblGrid>
      <w:tr>
        <w:trPr/>
        <w:tc>
          <w:tcPr>
            <w:tcW w:w="2163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Risk factors </w:t>
            </w:r>
          </w:p>
        </w:tc>
        <w:tc>
          <w:tcPr>
            <w:tcW w:w="572" w:type="dxa"/>
            <w:gridSpan w:val="2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969" w:type="dxa"/>
            <w:gridSpan w:val="8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Studied patients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366) </w:t>
            </w:r>
          </w:p>
        </w:tc>
        <w:tc>
          <w:tcPr>
            <w:tcW w:w="511" w:type="dxa"/>
            <w:gridSpan w:val="2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Test </w:t>
            </w:r>
          </w:p>
        </w:tc>
        <w:tc>
          <w:tcPr>
            <w:tcW w:w="856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p-value </w:t>
            </w:r>
          </w:p>
        </w:tc>
      </w:tr>
      <w:tr>
        <w:trPr/>
        <w:tc>
          <w:tcPr>
            <w:tcW w:w="2163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2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69" w:type="dxa"/>
            <w:gridSpan w:val="8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ELISA IgG </w:t>
            </w:r>
          </w:p>
        </w:tc>
        <w:tc>
          <w:tcPr>
            <w:tcW w:w="511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63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2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8" w:type="dxa"/>
            <w:gridSpan w:val="4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Positive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93) </w:t>
            </w:r>
          </w:p>
        </w:tc>
        <w:tc>
          <w:tcPr>
            <w:tcW w:w="961" w:type="dxa"/>
            <w:gridSpan w:val="4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Negative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273) </w:t>
            </w:r>
          </w:p>
        </w:tc>
        <w:tc>
          <w:tcPr>
            <w:tcW w:w="511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63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2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7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441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483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511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6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repeated blood transfusion 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(164) </w:t>
            </w:r>
          </w:p>
        </w:tc>
        <w:tc>
          <w:tcPr>
            <w:tcW w:w="34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 </w:t>
            </w:r>
          </w:p>
        </w:tc>
        <w:tc>
          <w:tcPr>
            <w:tcW w:w="46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38. 4% </w:t>
            </w:r>
          </w:p>
        </w:tc>
        <w:tc>
          <w:tcPr>
            <w:tcW w:w="46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 </w:t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61. 6% </w:t>
            </w:r>
          </w:p>
        </w:tc>
        <w:tc>
          <w:tcPr>
            <w:tcW w:w="499" w:type="dxa"/>
            <w:gridSpan w:val="2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53. 96 </w:t>
            </w:r>
          </w:p>
        </w:tc>
        <w:tc>
          <w:tcPr>
            <w:tcW w:w="1112" w:type="dxa"/>
            <w:gridSpan w:val="2"/>
            <w:vMerge w:val="restart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0. 000*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(HS) </w:t>
            </w:r>
          </w:p>
        </w:tc>
      </w:tr>
      <w:tr>
        <w:trPr/>
        <w:tc>
          <w:tcPr>
            <w:tcW w:w="216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Chronic renal failure with haemodialysis 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(64) </w:t>
            </w:r>
          </w:p>
        </w:tc>
        <w:tc>
          <w:tcPr>
            <w:tcW w:w="34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46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12. 5% </w:t>
            </w:r>
          </w:p>
        </w:tc>
        <w:tc>
          <w:tcPr>
            <w:tcW w:w="46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 </w:t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87. 5% </w:t>
            </w:r>
          </w:p>
        </w:tc>
        <w:tc>
          <w:tcPr>
            <w:tcW w:w="499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2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6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Neonates with congenital anomalies 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34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 </w:t>
            </w:r>
          </w:p>
        </w:tc>
        <w:tc>
          <w:tcPr>
            <w:tcW w:w="46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100% </w:t>
            </w:r>
          </w:p>
        </w:tc>
        <w:tc>
          <w:tcPr>
            <w:tcW w:w="466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  <w:tc>
          <w:tcPr>
            <w:tcW w:w="499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2" w:type="dxa"/>
            <w:gridSpan w:val="2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#   chi square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&lt; 0. 05 is significant.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*highly statistical Significance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(11): Results of real time PCR for CMV in the enrolled patients (N= 366) </w:t>
      </w:r>
    </w:p>
    <w:tbl>
      <w:tblPr>
        <w:tblW w:w="4398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43"/>
        <w:gridCol w:w="989"/>
        <w:gridCol w:w="1666"/>
      </w:tblGrid>
      <w:tr>
        <w:trPr/>
        <w:tc>
          <w:tcPr>
            <w:tcW w:w="17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Real time PCR </w:t>
            </w:r>
          </w:p>
        </w:tc>
        <w:tc>
          <w:tcPr>
            <w:tcW w:w="2655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Studied patients (N= 366) </w:t>
            </w:r>
          </w:p>
        </w:tc>
      </w:tr>
      <w:tr>
        <w:trPr/>
        <w:tc>
          <w:tcPr>
            <w:tcW w:w="174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9. 8% </w:t>
            </w:r>
          </w:p>
        </w:tc>
      </w:tr>
      <w:tr>
        <w:trPr/>
        <w:tc>
          <w:tcPr>
            <w:tcW w:w="174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330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90. 2%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Table (11)shows that 9. 8% (36 out of 366) of the studied patients were positive for CMV in real time PCR test.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(12): Results of nested PCR for CMV in the enrolled patients (N= 366) </w:t>
      </w:r>
    </w:p>
    <w:tbl>
      <w:tblPr>
        <w:tblW w:w="4398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43"/>
        <w:gridCol w:w="989"/>
        <w:gridCol w:w="1666"/>
      </w:tblGrid>
      <w:tr>
        <w:trPr/>
        <w:tc>
          <w:tcPr>
            <w:tcW w:w="17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Nested PCR </w:t>
            </w:r>
          </w:p>
        </w:tc>
        <w:tc>
          <w:tcPr>
            <w:tcW w:w="2655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Studied patients (N= 366) </w:t>
            </w:r>
          </w:p>
        </w:tc>
      </w:tr>
      <w:tr>
        <w:trPr/>
        <w:tc>
          <w:tcPr>
            <w:tcW w:w="174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7. 9% </w:t>
            </w:r>
          </w:p>
        </w:tc>
      </w:tr>
      <w:tr>
        <w:trPr/>
        <w:tc>
          <w:tcPr>
            <w:tcW w:w="174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337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92. 1%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Table (12)shows that 7. 9% (29 out of 366) of the studied patients were positive for CMV in nested PCR test.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(4): Results of real time PCR and nested PCR for CMV in the enrolled patients.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(5): 1 </w:t>
      </w:r>
      <w:r>
        <w:rPr>
          <w:position w:val="8"/>
          <w:sz w:val="19"/>
        </w:rPr>
        <w:t xml:space="preserve">st </w:t>
      </w:r>
      <w:r>
        <w:rPr/>
        <w:t xml:space="preserve">run nested PCR showing band at 435 bp.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(6): 2 </w:t>
      </w:r>
      <w:r>
        <w:rPr>
          <w:position w:val="8"/>
          <w:sz w:val="19"/>
        </w:rPr>
        <w:t xml:space="preserve">nd </w:t>
      </w:r>
      <w:r>
        <w:rPr/>
        <w:t xml:space="preserve">run nested PCR showing band at 159 bp.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(13): Prevalence of CMV infection in the studied patients (using real time PCR as a gold standard test)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25"/>
        <w:gridCol w:w="584"/>
        <w:gridCol w:w="540"/>
        <w:gridCol w:w="622"/>
      </w:tblGrid>
      <w:tr>
        <w:trPr/>
        <w:tc>
          <w:tcPr>
            <w:tcW w:w="4325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Risk factors </w:t>
            </w:r>
          </w:p>
        </w:tc>
        <w:tc>
          <w:tcPr>
            <w:tcW w:w="584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162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Studied patients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366) </w:t>
            </w:r>
          </w:p>
        </w:tc>
      </w:tr>
      <w:tr>
        <w:trPr/>
        <w:tc>
          <w:tcPr>
            <w:tcW w:w="432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2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Positive </w:t>
            </w:r>
          </w:p>
        </w:tc>
      </w:tr>
      <w:tr>
        <w:trPr/>
        <w:tc>
          <w:tcPr>
            <w:tcW w:w="432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Malignant hematological disease with chemotherapy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(43)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83. 7%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repeated blood transfusion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(164)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of unknown origin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Critically ill patients lying in the ICUs with prolonged hospitalization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(28)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corticosteroids or other immunosuppressives for long period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Chronic renal failure with haemodialysis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(64)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with pancytopenia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(7)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Neonates with congenital anomalies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As shown intable (13), CMV infection (using real time PCR as a gold standard test) was only reported from patients suffering from malignant hematological disease and receiving chemotherapy, where  83. 7% of these patients were positive for CMV.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(7):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(8):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(14): Titer of CMV viremia in patients with malignant hematological disease receiving chemotherapy </w:t>
      </w:r>
    </w:p>
    <w:tbl>
      <w:tblPr>
        <w:tblW w:w="451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61"/>
        <w:gridCol w:w="2656"/>
      </w:tblGrid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Quantitative PCR 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Studied patients (N= 366)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Mean ± SD 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6907. 30 ± 15846. 04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Median (Range) 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623. 50 (3. 70 – 57500)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The mean titer and SD of titers of CMV viremia in patients with malignant hematological disease receiving chemotherapy as shown intable (14)was 6907. 30 ± 15846. 04.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(15): Results of Nested PCR for CMV among different risk groups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25"/>
        <w:gridCol w:w="584"/>
        <w:gridCol w:w="540"/>
        <w:gridCol w:w="622"/>
      </w:tblGrid>
      <w:tr>
        <w:trPr/>
        <w:tc>
          <w:tcPr>
            <w:tcW w:w="4325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Risk factors </w:t>
            </w:r>
          </w:p>
        </w:tc>
        <w:tc>
          <w:tcPr>
            <w:tcW w:w="584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1162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Studied patients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366) </w:t>
            </w:r>
          </w:p>
        </w:tc>
      </w:tr>
      <w:tr>
        <w:trPr/>
        <w:tc>
          <w:tcPr>
            <w:tcW w:w="432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2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Positive </w:t>
            </w:r>
          </w:p>
        </w:tc>
      </w:tr>
      <w:tr>
        <w:trPr/>
        <w:tc>
          <w:tcPr>
            <w:tcW w:w="4325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0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Malignant hematological disease with chemotherapy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(43)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67. 4%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0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repeated blood transfusion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(164)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0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of unknown origin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(16)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0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Critically ill patients lying in the ICUs with prolonged hospitalization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(28)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0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Receiving corticosteroids or other immunosuppressives for long period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0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Chronic renal failure with haemodialysis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(64)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0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Fever with pancytopenia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(7)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  <w:tr>
        <w:trPr/>
        <w:tc>
          <w:tcPr>
            <w:tcW w:w="43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0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Neonates with congenital anomalies </w:t>
            </w:r>
          </w:p>
        </w:tc>
        <w:tc>
          <w:tcPr>
            <w:tcW w:w="58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(22) </w:t>
            </w:r>
          </w:p>
        </w:tc>
        <w:tc>
          <w:tcPr>
            <w:tcW w:w="5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0%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Twenty nine out of 43 patients suffering from malignant hematological disease with chemotherapy with a percentage of 67. 4 were positive for CMV in a nested PCR test as shown intable (15).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(16): Relation between ELISA IgM and real time PCR and nested PCR in the studied patients (N= 366)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between ELISA IgM and real time PCR and nested PCR in the studied patients (N= 366)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6"/>
        <w:gridCol w:w="517"/>
        <w:gridCol w:w="612"/>
        <w:gridCol w:w="536"/>
        <w:gridCol w:w="676"/>
        <w:gridCol w:w="691"/>
        <w:gridCol w:w="903"/>
      </w:tblGrid>
      <w:tr>
        <w:trPr/>
        <w:tc>
          <w:tcPr>
            <w:tcW w:w="2136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Laboratory findings </w:t>
            </w:r>
          </w:p>
        </w:tc>
        <w:tc>
          <w:tcPr>
            <w:tcW w:w="2341" w:type="dxa"/>
            <w:gridSpan w:val="4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ELISA </w:t>
            </w:r>
          </w:p>
        </w:tc>
        <w:tc>
          <w:tcPr>
            <w:tcW w:w="691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Test </w:t>
            </w:r>
          </w:p>
        </w:tc>
        <w:tc>
          <w:tcPr>
            <w:tcW w:w="903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P-value </w:t>
            </w:r>
          </w:p>
        </w:tc>
      </w:tr>
      <w:tr>
        <w:trPr/>
        <w:tc>
          <w:tcPr>
            <w:tcW w:w="213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29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Positive IgM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60) </w:t>
            </w: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Negative IgM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306) </w:t>
            </w:r>
          </w:p>
        </w:tc>
        <w:tc>
          <w:tcPr>
            <w:tcW w:w="69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3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3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69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3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71" w:type="dxa"/>
            <w:gridSpan w:val="7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Real time PCR </w:t>
            </w:r>
          </w:p>
        </w:tc>
      </w:tr>
      <w:tr>
        <w:trPr/>
        <w:tc>
          <w:tcPr>
            <w:tcW w:w="2136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(n= 36) 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22. 2 %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 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77. 8 % </w:t>
            </w:r>
          </w:p>
        </w:tc>
        <w:tc>
          <w:tcPr>
            <w:tcW w:w="691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 0. 05 </w:t>
            </w:r>
          </w:p>
        </w:tc>
        <w:tc>
          <w:tcPr>
            <w:tcW w:w="903" w:type="dxa"/>
            <w:vMerge w:val="restart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0. 320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(NS) </w:t>
            </w:r>
          </w:p>
        </w:tc>
      </w:tr>
      <w:tr>
        <w:trPr/>
        <w:tc>
          <w:tcPr>
            <w:tcW w:w="2136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(n= 330) 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 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15. 8 %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278 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84. 2 % </w:t>
            </w:r>
          </w:p>
        </w:tc>
        <w:tc>
          <w:tcPr>
            <w:tcW w:w="69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3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71" w:type="dxa"/>
            <w:gridSpan w:val="7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Nested PCR </w:t>
            </w:r>
          </w:p>
        </w:tc>
      </w:tr>
      <w:tr>
        <w:trPr/>
        <w:tc>
          <w:tcPr>
            <w:tcW w:w="2136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27. 6 %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 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72. 4 % </w:t>
            </w:r>
          </w:p>
        </w:tc>
        <w:tc>
          <w:tcPr>
            <w:tcW w:w="691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#0. 082 </w:t>
            </w:r>
          </w:p>
        </w:tc>
        <w:tc>
          <w:tcPr>
            <w:tcW w:w="903" w:type="dxa"/>
            <w:vMerge w:val="restart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0. 090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(NS) </w:t>
            </w:r>
          </w:p>
        </w:tc>
      </w:tr>
      <w:tr>
        <w:trPr/>
        <w:tc>
          <w:tcPr>
            <w:tcW w:w="2136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 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15. 4 % 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285 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84. 6 % </w:t>
            </w:r>
          </w:p>
        </w:tc>
        <w:tc>
          <w:tcPr>
            <w:tcW w:w="691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3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#   Kappa measure of agreement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&lt; 0. 05 is significant.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Statistical Significance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for strength of agreement for the kappa coefficient: </w:t>
      </w:r>
    </w:p>
    <w:p>
      <w:pPr>
        <w:pStyle w:val="TextBody"/>
        <w:bidi w:val="0"/>
        <w:spacing w:before="0" w:after="283"/>
        <w:jc w:val="start"/>
        <w:rPr/>
      </w:pPr>
      <w:r>
        <w:rPr/>
        <w:t>≤</w:t>
      </w:r>
      <w:r>
        <w:rPr/>
        <w:t xml:space="preserve">0= poor,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01-. 20= slight,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21-. 40= fair,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41-. 60= moderate,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61-. 80= substantial,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81-1= almost perfect.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intable 16, there is poor statistical agreement between ELISA IgM and PCR reactions in the detection of CMV in children with no significance.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(17): Relation between ELISA IgG and real time PCR and nested PCR in the studied patients (N= 366)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between ELISA IgG and real time PCR and nested PCR in the studied patients (N= 366)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18"/>
        <w:gridCol w:w="517"/>
        <w:gridCol w:w="601"/>
        <w:gridCol w:w="513"/>
        <w:gridCol w:w="674"/>
        <w:gridCol w:w="746"/>
        <w:gridCol w:w="902"/>
      </w:tblGrid>
      <w:tr>
        <w:trPr/>
        <w:tc>
          <w:tcPr>
            <w:tcW w:w="2118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Laboratory findings </w:t>
            </w:r>
          </w:p>
        </w:tc>
        <w:tc>
          <w:tcPr>
            <w:tcW w:w="2305" w:type="dxa"/>
            <w:gridSpan w:val="4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ELISA </w:t>
            </w:r>
          </w:p>
        </w:tc>
        <w:tc>
          <w:tcPr>
            <w:tcW w:w="746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Test </w:t>
            </w:r>
          </w:p>
        </w:tc>
        <w:tc>
          <w:tcPr>
            <w:tcW w:w="902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P-value </w:t>
            </w:r>
          </w:p>
        </w:tc>
      </w:tr>
      <w:tr>
        <w:trPr/>
        <w:tc>
          <w:tcPr>
            <w:tcW w:w="2118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8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Positive IgG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93) </w:t>
            </w:r>
          </w:p>
        </w:tc>
        <w:tc>
          <w:tcPr>
            <w:tcW w:w="1187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Negative IgG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273) </w:t>
            </w:r>
          </w:p>
        </w:tc>
        <w:tc>
          <w:tcPr>
            <w:tcW w:w="74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2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18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74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2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71" w:type="dxa"/>
            <w:gridSpan w:val="7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Real time PCR </w:t>
            </w:r>
          </w:p>
        </w:tc>
      </w:tr>
      <w:tr>
        <w:trPr/>
        <w:tc>
          <w:tcPr>
            <w:tcW w:w="211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(n= 36) 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  <w:tc>
          <w:tcPr>
            <w:tcW w:w="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 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100 % </w:t>
            </w:r>
          </w:p>
        </w:tc>
        <w:tc>
          <w:tcPr>
            <w:tcW w:w="746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 -0. 137 </w:t>
            </w:r>
          </w:p>
        </w:tc>
        <w:tc>
          <w:tcPr>
            <w:tcW w:w="902" w:type="dxa"/>
            <w:vMerge w:val="restart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0. 001*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(HS) </w:t>
            </w:r>
          </w:p>
        </w:tc>
      </w:tr>
      <w:tr>
        <w:trPr/>
        <w:tc>
          <w:tcPr>
            <w:tcW w:w="211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(n= 330) 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 </w:t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28. 2 % </w:t>
            </w:r>
          </w:p>
        </w:tc>
        <w:tc>
          <w:tcPr>
            <w:tcW w:w="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237 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71. 8 % </w:t>
            </w:r>
          </w:p>
        </w:tc>
        <w:tc>
          <w:tcPr>
            <w:tcW w:w="74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2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71" w:type="dxa"/>
            <w:gridSpan w:val="7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Nested PCR </w:t>
            </w:r>
          </w:p>
        </w:tc>
      </w:tr>
      <w:tr>
        <w:trPr/>
        <w:tc>
          <w:tcPr>
            <w:tcW w:w="211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  <w:tc>
          <w:tcPr>
            <w:tcW w:w="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 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100 % </w:t>
            </w:r>
          </w:p>
        </w:tc>
        <w:tc>
          <w:tcPr>
            <w:tcW w:w="746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#-0. 165 </w:t>
            </w:r>
          </w:p>
        </w:tc>
        <w:tc>
          <w:tcPr>
            <w:tcW w:w="902" w:type="dxa"/>
            <w:vMerge w:val="restart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0. 000*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(HS) </w:t>
            </w:r>
          </w:p>
        </w:tc>
      </w:tr>
      <w:tr>
        <w:trPr/>
        <w:tc>
          <w:tcPr>
            <w:tcW w:w="211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2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 </w:t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27. 6 % </w:t>
            </w:r>
          </w:p>
        </w:tc>
        <w:tc>
          <w:tcPr>
            <w:tcW w:w="5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244 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72. 4 % </w:t>
            </w:r>
          </w:p>
        </w:tc>
        <w:tc>
          <w:tcPr>
            <w:tcW w:w="74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2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#   Kappa measure of agreement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&lt; 0. 05 is significant.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*highly statistical Significance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for strength of agreement for the kappa coefficient: </w:t>
      </w:r>
    </w:p>
    <w:p>
      <w:pPr>
        <w:pStyle w:val="TextBody"/>
        <w:bidi w:val="0"/>
        <w:spacing w:before="0" w:after="283"/>
        <w:jc w:val="start"/>
        <w:rPr/>
      </w:pPr>
      <w:r>
        <w:rPr/>
        <w:t>≤</w:t>
      </w:r>
      <w:r>
        <w:rPr/>
        <w:t xml:space="preserve">0= poor,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01-. 20= slight,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21-. 40= fair,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41-. 60= moderate,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61-. 80= substantial, and . 81-1= almost perfect.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high statistically significant non-agreement is present between ELISA IgG and PCR reactions in the detection of CMV in childrenas shown intable 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(18): Relation between real time PCR and nested PCR in the studied patients (N= 366)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between real time PCR and nested PCR in the studied patients (N= 366) </w:t>
      </w:r>
    </w:p>
    <w:tbl>
      <w:tblPr>
        <w:tblW w:w="607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56"/>
        <w:gridCol w:w="489"/>
        <w:gridCol w:w="590"/>
        <w:gridCol w:w="604"/>
        <w:gridCol w:w="753"/>
        <w:gridCol w:w="682"/>
        <w:gridCol w:w="897"/>
      </w:tblGrid>
      <w:tr>
        <w:trPr/>
        <w:tc>
          <w:tcPr>
            <w:tcW w:w="2056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Laboratory findings </w:t>
            </w:r>
          </w:p>
        </w:tc>
        <w:tc>
          <w:tcPr>
            <w:tcW w:w="2436" w:type="dxa"/>
            <w:gridSpan w:val="4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Nested PCR </w:t>
            </w:r>
          </w:p>
        </w:tc>
        <w:tc>
          <w:tcPr>
            <w:tcW w:w="682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Test </w:t>
            </w:r>
          </w:p>
        </w:tc>
        <w:tc>
          <w:tcPr>
            <w:tcW w:w="897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P-value </w:t>
            </w:r>
          </w:p>
        </w:tc>
      </w:tr>
      <w:tr>
        <w:trPr/>
        <w:tc>
          <w:tcPr>
            <w:tcW w:w="205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9" w:type="dxa"/>
            <w:gridSpan w:val="2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Positive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(N= 29) </w:t>
            </w:r>
          </w:p>
        </w:tc>
        <w:tc>
          <w:tcPr>
            <w:tcW w:w="1357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Negative (N= 337) </w:t>
            </w:r>
          </w:p>
        </w:tc>
        <w:tc>
          <w:tcPr>
            <w:tcW w:w="682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7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56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5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No. 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% </w:t>
            </w:r>
          </w:p>
        </w:tc>
        <w:tc>
          <w:tcPr>
            <w:tcW w:w="682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7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71" w:type="dxa"/>
            <w:gridSpan w:val="7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Real time PCR </w:t>
            </w:r>
          </w:p>
        </w:tc>
      </w:tr>
      <w:tr>
        <w:trPr/>
        <w:tc>
          <w:tcPr>
            <w:tcW w:w="2056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Positive (n= 36) 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 </w:t>
            </w:r>
          </w:p>
        </w:tc>
        <w:tc>
          <w:tcPr>
            <w:tcW w:w="5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100 % </w:t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2. 1 % </w:t>
            </w:r>
          </w:p>
        </w:tc>
        <w:tc>
          <w:tcPr>
            <w:tcW w:w="682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 0. 882 </w:t>
            </w:r>
          </w:p>
        </w:tc>
        <w:tc>
          <w:tcPr>
            <w:tcW w:w="897" w:type="dxa"/>
            <w:vMerge w:val="restart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0. 000*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(HS) </w:t>
            </w:r>
          </w:p>
        </w:tc>
      </w:tr>
      <w:tr>
        <w:trPr/>
        <w:tc>
          <w:tcPr>
            <w:tcW w:w="2056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3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Negative (n= 330) 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  <w:tc>
          <w:tcPr>
            <w:tcW w:w="5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0 % </w:t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330 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97. 9 % </w:t>
            </w:r>
          </w:p>
        </w:tc>
        <w:tc>
          <w:tcPr>
            <w:tcW w:w="682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7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#   Kappa measure of agreement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&lt; 0. 05 is significant.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*highly statistical Significance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for strength of agreement for the kappa coefficient: </w:t>
      </w:r>
    </w:p>
    <w:p>
      <w:pPr>
        <w:pStyle w:val="TextBody"/>
        <w:bidi w:val="0"/>
        <w:spacing w:before="0" w:after="283"/>
        <w:jc w:val="start"/>
        <w:rPr/>
      </w:pPr>
      <w:r>
        <w:rPr/>
        <w:t>≤</w:t>
      </w:r>
      <w:r>
        <w:rPr/>
        <w:t xml:space="preserve">0= poor,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01-. 20= slight,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21-. 40= fair,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41-. 60= moderate,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61-. 80= substantial, and . 81-1= almost perfect.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18shows that there is an almost perfect statistical agreement between real time PCR and nested PCR in the detection of CMV in children with high significance.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(19): Relation between real time PCR and nested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https://assignbuster.com/results-chapter-on-cmv-infection-research/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Results chapter on cmv infection researc...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  <w:num w:numId="1">
    <w:abstractNumId w:val="0"/>
  </w:num>
  <w:num w:numId="1">
    <w:abstractNumId w:val="0"/>
  </w:num>
  <w:num w:numId="1">
    <w:abstractNumId w:val="0"/>
  </w:num>
  <w:num w:numId="1">
    <w:abstractNumId w:val="0"/>
  </w:num>
  <w:num w:numId="1">
    <w:abstractNumId w:val="0"/>
  </w:num>
  <w:num w:numId="1">
    <w:abstractNumId w:val="0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3">
    <w:abstractNumId w:val="2"/>
  </w:num>
  <w:num w:numId="3">
    <w:abstractNumId w:val="2"/>
  </w:num>
  <w:num w:numId="3">
    <w:abstractNumId w:val="2"/>
  </w:num>
  <w:num w:numId="3">
    <w:abstractNumId w:val="2"/>
  </w:num>
  <w:num w:numId="3">
    <w:abstractNumId w:val="2"/>
  </w:num>
  <w:num w:numId="3">
    <w:abstractNumId w:val="2"/>
  </w:num>
  <w:num w:numId="3">
    <w:abstractNumId w:val="2"/>
  </w:num>
  <w:num w:numId="3">
    <w:abstractNumId w:val="2"/>
  </w:num>
  <w:num w:numId="4">
    <w:abstractNumId w:val="3"/>
  </w:num>
  <w:num w:numId="4">
    <w:abstractNumId w:val="3"/>
  </w:num>
  <w:num w:numId="4">
    <w:abstractNumId w:val="3"/>
  </w:num>
  <w:num w:numId="4">
    <w:abstractNumId w:val="3"/>
  </w:num>
  <w:num w:numId="5">
    <w:abstractNumId w:val="4"/>
  </w:num>
  <w:num w:numId="5">
    <w:abstractNumId w:val="4"/>
  </w:num>
  <w:num w:numId="5">
    <w:abstractNumId w:val="4"/>
  </w:num>
  <w:num w:numId="5">
    <w:abstractNumId w:val="4"/>
  </w:num>
  <w:num w:numId="5">
    <w:abstractNumId w:val="4"/>
  </w:num>
  <w:num w:numId="5">
    <w:abstractNumId w:val="4"/>
  </w:num>
  <w:num w:numId="5">
    <w:abstractNumId w:val="4"/>
  </w:num>
  <w:num w:numId="5">
    <w:abstractNumId w:val="4"/>
  </w:num>
  <w:num w:numId="6">
    <w:abstractNumId w:val="5"/>
  </w:num>
  <w:num w:numId="6">
    <w:abstractNumId w:val="5"/>
  </w:num>
  <w:num w:numId="6">
    <w:abstractNumId w:val="5"/>
  </w:num>
  <w:num w:numId="7">
    <w:abstractNumId w:val="6"/>
  </w:num>
  <w:num w:numId="7">
    <w:abstractNumId w:val="6"/>
  </w:num>
  <w:num w:numId="8">
    <w:abstractNumId w:val="7"/>
  </w:num>
  <w:num w:numId="8">
    <w:abstractNumId w:val="7"/>
  </w:num>
  <w:num w:numId="9">
    <w:abstractNumId w:val="8"/>
  </w:num>
  <w:num w:numId="9">
    <w:abstractNumId w:val="8"/>
  </w:num>
  <w:num w:numId="9">
    <w:abstractNumId w:val="8"/>
  </w:num>
  <w:num w:numId="9">
    <w:abstractNumId w:val="8"/>
  </w:num>
  <w:num w:numId="9">
    <w:abstractNumId w:val="8"/>
  </w:num>
  <w:num w:numId="9">
    <w:abstractNumId w:val="8"/>
  </w:num>
  <w:num w:numId="9">
    <w:abstractNumId w:val="8"/>
  </w:num>
  <w:num w:numId="9">
    <w:abstractNumId w:val="8"/>
  </w:num>
  <w:num w:numId="10">
    <w:abstractNumId w:val="9"/>
  </w:num>
  <w:num w:numId="10">
    <w:abstractNumId w:val="9"/>
  </w:num>
  <w:num w:numId="10">
    <w:abstractNumId w:val="9"/>
  </w:num>
  <w:num w:numId="10">
    <w:abstractNumId w:val="9"/>
  </w:num>
  <w:num w:numId="10">
    <w:abstractNumId w:val="9"/>
  </w:num>
  <w:num w:numId="10">
    <w:abstractNumId w:val="9"/>
  </w:num>
  <w:num w:numId="10">
    <w:abstractNumId w:val="9"/>
  </w:num>
  <w:num w:numId="10">
    <w:abstractNumId w:val="9"/>
  </w:num>
  <w:num w:numId="11">
    <w:abstractNumId w:val="10"/>
  </w:num>
  <w:num w:numId="11">
    <w:abstractNumId w:val="10"/>
  </w:num>
  <w:num w:numId="11">
    <w:abstractNumId w:val="10"/>
  </w:num>
  <w:num w:numId="11">
    <w:abstractNumId w:val="10"/>
  </w:num>
  <w:num w:numId="12">
    <w:abstractNumId w:val="11"/>
  </w:num>
  <w:num w:numId="12">
    <w:abstractNumId w:val="11"/>
  </w:num>
  <w:num w:numId="12">
    <w:abstractNumId w:val="11"/>
  </w:num>
  <w:num w:numId="12">
    <w:abstractNumId w:val="11"/>
  </w:num>
  <w:num w:numId="13">
    <w:abstractNumId w:val="12"/>
  </w:num>
  <w:num w:numId="13">
    <w:abstractNumId w:val="1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sults-chapter-on-cmv-infection-resear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Results chapter on cmv infection research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chapter on cmv infection research</dc:title>
  <dc:subject>Others;</dc:subject>
  <dc:creator>AssignBuster</dc:creator>
  <cp:keywords/>
  <dc:description>Table: Age distribution of neonates with congenital anomalies Studied patients No.% Age of neonateswith congenital anomalies group Mean SD Median 4.1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