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"https://assignbuster.com/corrigendum-thioreductase-containing-epitopes-inhibit-the-development-of-type-1-diabetes-in-the-nod-mouse-model/"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thioreductase-containing epitopes inhibit the development of type 1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Thioreductase-Containing Epitopes Inhibit the Development of Type 1 Diabetes in the NOD Mouse Model </w:t>
          <w:br/>
        </w:r>
        <w:r>
          <w:rPr>
            <w:rStyle w:val="a8"/>
            <w:i/>
          </w:rPr>
          <w:t xml:space="preserve">by Malek Abrahimians E, Vander Elst L, Carlier VA, Saint-Remy J-M. Front Immunol (2016) 7: 67. doi: 10. 3389/fimmu. 2016. 00067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 the wording concerning the production of cytokines.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section Results, Subsection CCGAD65 Peptide Elicits CD4+ T Cells with a Unique Phenotype and Cytolytic Properties, Paragraph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phenotype at resting state, 14 days after last stimulation with CCGAD65-loaded APCs, was CD3 </w:t>
      </w:r>
      <w:r>
        <w:rPr>
          <w:position w:val="8"/>
          <w:sz w:val="19"/>
        </w:rPr>
        <w:t xml:space="preserve">+ </w:t>
      </w:r>
      <w:r>
        <w:rPr/>
        <w:t xml:space="preserve">CD4 </w:t>
      </w:r>
      <w:r>
        <w:rPr>
          <w:position w:val="8"/>
          <w:sz w:val="19"/>
        </w:rPr>
        <w:t xml:space="preserve">+ </w:t>
      </w:r>
      <w:r>
        <w:rPr/>
        <w:t xml:space="preserve">CD8 </w:t>
      </w:r>
      <w:r>
        <w:rPr>
          <w:position w:val="8"/>
          <w:sz w:val="19"/>
        </w:rPr>
        <w:t xml:space="preserve">− </w:t>
      </w:r>
      <w:r>
        <w:rPr/>
        <w:t xml:space="preserve">CD25 </w:t>
      </w:r>
      <w:r>
        <w:rPr>
          <w:position w:val="8"/>
          <w:sz w:val="19"/>
        </w:rPr>
        <w:t xml:space="preserve">+ </w:t>
      </w:r>
      <w:r>
        <w:rPr/>
        <w:t xml:space="preserve">CD44 </w:t>
      </w:r>
      <w:r>
        <w:rPr>
          <w:position w:val="8"/>
          <w:sz w:val="19"/>
        </w:rPr>
        <w:t xml:space="preserve">+ </w:t>
      </w:r>
      <w:r>
        <w:rPr/>
        <w:t xml:space="preserve">CD62L </w:t>
      </w:r>
      <w:r>
        <w:rPr>
          <w:position w:val="8"/>
          <w:sz w:val="19"/>
        </w:rPr>
        <w:t xml:space="preserve">− </w:t>
      </w:r>
      <w:r>
        <w:rPr/>
        <w:t xml:space="preserve">CD127 </w:t>
      </w:r>
      <w:r>
        <w:rPr>
          <w:position w:val="8"/>
          <w:sz w:val="19"/>
        </w:rPr>
        <w:t xml:space="preserve">− </w:t>
      </w:r>
      <w:r>
        <w:rPr/>
        <w:t xml:space="preserve">CD27 </w:t>
      </w:r>
      <w:r>
        <w:rPr>
          <w:position w:val="8"/>
          <w:sz w:val="19"/>
        </w:rPr>
        <w:t xml:space="preserve">− </w:t>
      </w:r>
      <w:r>
        <w:rPr/>
        <w:t xml:space="preserve">CD28 </w:t>
      </w:r>
      <w:r>
        <w:rPr>
          <w:position w:val="8"/>
          <w:sz w:val="19"/>
        </w:rPr>
        <w:t xml:space="preserve">− </w:t>
      </w:r>
      <w:r>
        <w:rPr/>
        <w:t xml:space="preserve">, indicative of an effector memory phenotype. Some cells were positive for T-Bet and/or GATA-3, but all were negative for Foxp3. The production of cytokines was essentially Il-4 and low IFN-γ. This distinct phenotype was conserved even when cells were repeatedly stimulated </w:t>
      </w:r>
      <w:r>
        <w:rPr>
          <w:i/>
        </w:rPr>
        <w:t xml:space="preserve">in vitro </w:t>
      </w:r>
      <w:r>
        <w:rPr/>
        <w:t xml:space="preserve">with the WTGAD65 peptide, suggesting a terminal differentiation. By contrast, the phenotype expressed by CD4 </w:t>
      </w:r>
      <w:r>
        <w:rPr>
          <w:position w:val="8"/>
          <w:sz w:val="19"/>
        </w:rPr>
        <w:t xml:space="preserve">+ </w:t>
      </w:r>
      <w:r>
        <w:rPr/>
        <w:t xml:space="preserve">T cells generated in a similar manner from mice immunized with the WTGAD65 peptide was CD3 </w:t>
      </w:r>
      <w:r>
        <w:rPr>
          <w:position w:val="8"/>
          <w:sz w:val="19"/>
        </w:rPr>
        <w:t xml:space="preserve">+ </w:t>
      </w:r>
      <w:r>
        <w:rPr/>
        <w:t xml:space="preserve">CD4 </w:t>
      </w:r>
      <w:r>
        <w:rPr>
          <w:position w:val="8"/>
          <w:sz w:val="19"/>
        </w:rPr>
        <w:t xml:space="preserve">+ </w:t>
      </w:r>
      <w:r>
        <w:rPr/>
        <w:t xml:space="preserve">CD8 </w:t>
      </w:r>
      <w:r>
        <w:rPr>
          <w:position w:val="8"/>
          <w:sz w:val="19"/>
        </w:rPr>
        <w:t xml:space="preserve">− </w:t>
      </w:r>
      <w:r>
        <w:rPr/>
        <w:t xml:space="preserve">CD25 </w:t>
      </w:r>
      <w:r>
        <w:rPr>
          <w:position w:val="8"/>
          <w:sz w:val="19"/>
        </w:rPr>
        <w:t xml:space="preserve">+ </w:t>
      </w:r>
      <w:r>
        <w:rPr/>
        <w:t xml:space="preserve">CD44 </w:t>
      </w:r>
      <w:r>
        <w:rPr>
          <w:position w:val="8"/>
          <w:sz w:val="19"/>
        </w:rPr>
        <w:t xml:space="preserve">+ </w:t>
      </w:r>
      <w:r>
        <w:rPr/>
        <w:t xml:space="preserve">CD62L </w:t>
      </w:r>
      <w:r>
        <w:rPr>
          <w:position w:val="8"/>
          <w:sz w:val="19"/>
        </w:rPr>
        <w:t xml:space="preserve">− </w:t>
      </w:r>
      <w:r>
        <w:rPr/>
        <w:t xml:space="preserve">CD127 </w:t>
      </w:r>
      <w:r>
        <w:rPr>
          <w:position w:val="8"/>
          <w:sz w:val="19"/>
        </w:rPr>
        <w:t xml:space="preserve">high </w:t>
      </w:r>
      <w:r>
        <w:rPr/>
        <w:t xml:space="preserve">CD27 </w:t>
      </w:r>
      <w:r>
        <w:rPr>
          <w:position w:val="8"/>
          <w:sz w:val="19"/>
        </w:rPr>
        <w:t xml:space="preserve">high </w:t>
      </w:r>
      <w:r>
        <w:rPr/>
        <w:t xml:space="preserve">CD28 </w:t>
      </w:r>
      <w:r>
        <w:rPr>
          <w:position w:val="8"/>
          <w:sz w:val="19"/>
        </w:rPr>
        <w:t xml:space="preserve">− </w:t>
      </w:r>
      <w:r>
        <w:rPr/>
        <w:t xml:space="preserve">(Figure 2B; Figures S3 and S4 in Supplementary Material). Altogether, this indicates that cells generated with a thioreductase-containing peptide are terminally differentiated effector T cells with a memory phenotype.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https://assignbuster.com/corrigendum-thioreductase-containing-epitopes-inhibit-the-development-of-type-1-diabetes-in-the-nod-mouse-model/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thioreductase-containing ep...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immu.2016.00067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thioreductase-containing epitopes inhibit the development of type 1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thioreductase-containing epitopes inhibit the development of type 1 ...</dc:title>
  <dc:subject>Health &amp; Medicine;</dc:subject>
  <dc:creator>AssignBuster</dc:creator>
  <cp:keywords/>
  <dc:description>00067 In the original article, there was an error in the wording concerning the production of cytokines.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