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"https://assignbuster.com/corrigendum-the-application-of-timing-in-therapy-of-children-and-adults-with-language-disorders/"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application of timing in therapy of children and adults with 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Application of Timing in Therapy of Children and Adults with Language Disorders </w:t>
        </w:r>
      </w:hyperlink>
    </w:p>
    <w:p>
      <w:pPr>
        <w:pStyle w:val="TextBody"/>
        <w:bidi w:val="0"/>
        <w:jc w:val="start"/>
        <w:rPr>
          <w:i/>
        </w:rPr>
      </w:pPr>
      <w:r>
        <w:rPr>
          <w:i/>
        </w:rPr>
        <w:t xml:space="preserve">by Szelag, E., Dacewicz, A., Szymaszek, A., Wolak, T., Senderski, A., Domitrz, I., et al. (2015). Front. Psychol. 6: 1714. doi: 10. 3389/fpsyg. 2015. 01714 </w:t>
      </w:r>
    </w:p>
    <w:p>
      <w:pPr>
        <w:pStyle w:val="TextBody"/>
        <w:bidi w:val="0"/>
        <w:spacing w:before="0" w:after="283"/>
        <w:jc w:val="start"/>
        <w:rPr/>
      </w:pPr>
      <w:r>
        <w:rPr/>
        <w:t xml:space="preserve">Conflict of Interest Statement </w:t>
      </w:r>
    </w:p>
    <w:p>
      <w:pPr>
        <w:pStyle w:val="TextBody"/>
        <w:bidi w:val="0"/>
        <w:spacing w:before="0" w:after="283"/>
        <w:jc w:val="start"/>
        <w:rPr/>
      </w:pPr>
      <w:r>
        <w:rPr/>
        <w:t xml:space="preserve">ES and AS are the creators of the software package Dr. Neuronowski </w:t>
      </w:r>
      <w:r>
        <w:rPr>
          <w:position w:val="8"/>
          <w:sz w:val="19"/>
        </w:rPr>
        <w:t xml:space="preserve">® </w:t>
      </w:r>
      <w:r>
        <w:rPr/>
        <w:t xml:space="preserve">, realized as part of a project at the Nencki Institute with funding from the National Centre for Research and Development in Poland. The rights to the software lie with the Nencki Institute that has an agreement with Harpo Ltd., the company commercializing this software. ES and AS are not the owners of this technology nor do they have a direct financial arrangement with Harpo Ltd. </w:t>
      </w:r>
    </w:p>
    <w:p>
      <w:pPr>
        <w:pStyle w:val="TextBody"/>
        <w:bidi w:val="0"/>
        <w:spacing w:before="0" w:after="283"/>
        <w:jc w:val="start"/>
        <w:rPr/>
      </w:pPr>
      <w:r>
        <w:rPr/>
        <w:t xml:space="preserve">The authors state that the correction does not affect the scientific validity of the results.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ES: experimental design, data acqusition and analysis, manuscript writing. AD: data acqusition and analysis, manuscript writing. AS: data acqusition and analysis, manuscript writing. TW: guidance on MRI data analysis. AS: subject recruitment. ID: subject recruitment. AO: data acqusition and analysis, manuscript writing.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https://assignbuster.com/corrigendum-the-application-of-timing-in-therapy-of-children-and-adults-with-language-disorders/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application of timing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5.01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application of timing in therapy of children and adults with 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application of timing in therapy of children and adults with lan...</dc:title>
  <dc:subject>Health &amp; Medicine;</dc:subject>
  <dc:creator>AssignBuster</dc:creator>
  <cp:keywords/>
  <dc:description>AS: data acqusition and analysis, manuscript writing.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