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"https://assignbuster.com/an-investigation-into-a-factor-affecting-the-rate-of-bacterial-growth-essay/"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investigation into a factor affecting the rate of bacterial growth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An Investigation into a Factor Affecting the Rate ofBacterial GrowthPurpose: To happen out how different trade names of manus sanitizer affect the rate of bacterial growing. Variables: Mugwump: Trade names of Hand Sanitizer ( Lifebuoy, Al Kamal, World of Wipes, Dettol )Dependant: The size of the Zone of Inhibition /mm </w:t>
      </w:r>
      <w:r>
        <w:rPr>
          <w:position w:val="8"/>
          <w:sz w:val="19"/>
        </w:rPr>
        <w:t xml:space="preserve">2 </w:t>
      </w:r>
      <w:r>
        <w:rPr/>
        <w:t xml:space="preserve">Control: </w:t>
      </w:r>
    </w:p>
    <w:tbl>
      <w:tblPr>
        <w:tblW w:w="5377" w:type="dxa"/>
        <w:jc w:val="start"/>
        <w:tblInd w:w="0" w:type="dxa"/>
        <w:tblLayout w:type="fixed"/>
        <w:tblCellMar>
          <w:top w:w="28" w:type="dxa"/>
          <w:start w:w="28" w:type="dxa"/>
          <w:bottom w:w="28" w:type="dxa"/>
          <w:end w:w="28" w:type="dxa"/>
        </w:tblCellMar>
      </w:tblPr>
      <w:tblGrid>
        <w:gridCol w:w="2763"/>
        <w:gridCol w:w="2614"/>
      </w:tblGrid>
      <w:tr>
        <w:trPr/>
        <w:tc>
          <w:tcPr>
            <w:tcW w:w="2763" w:type="dxa"/>
            <w:tcBorders/>
            <w:vAlign w:val="center"/>
          </w:tcPr>
          <w:p>
            <w:pPr>
              <w:pStyle w:val="TableContents"/>
              <w:bidi w:val="0"/>
              <w:spacing w:before="0" w:after="283"/>
              <w:jc w:val="start"/>
              <w:rPr/>
            </w:pPr>
            <w:r>
              <w:rPr/>
              <w:t xml:space="preserve">What will be controlled? </w:t>
            </w:r>
          </w:p>
        </w:tc>
        <w:tc>
          <w:tcPr>
            <w:tcW w:w="2614" w:type="dxa"/>
            <w:tcBorders/>
            <w:vAlign w:val="center"/>
          </w:tcPr>
          <w:p>
            <w:pPr>
              <w:pStyle w:val="TableContents"/>
              <w:bidi w:val="0"/>
              <w:spacing w:before="0" w:after="283"/>
              <w:jc w:val="start"/>
              <w:rPr/>
            </w:pPr>
            <w:r>
              <w:rPr/>
              <w:t xml:space="preserve">How will it be controlled? </w:t>
            </w:r>
          </w:p>
        </w:tc>
      </w:tr>
      <w:tr>
        <w:trPr/>
        <w:tc>
          <w:tcPr>
            <w:tcW w:w="2763" w:type="dxa"/>
            <w:tcBorders/>
            <w:vAlign w:val="center"/>
          </w:tcPr>
          <w:p>
            <w:pPr>
              <w:pStyle w:val="TableContents"/>
              <w:bidi w:val="0"/>
              <w:spacing w:before="0" w:after="283"/>
              <w:jc w:val="start"/>
              <w:rPr/>
            </w:pPr>
            <w:r>
              <w:rPr/>
              <w:t xml:space="preserve">How much sanitizer </w:t>
            </w:r>
          </w:p>
        </w:tc>
        <w:tc>
          <w:tcPr>
            <w:tcW w:w="2614" w:type="dxa"/>
            <w:tcBorders/>
            <w:vAlign w:val="center"/>
          </w:tcPr>
          <w:p>
            <w:pPr>
              <w:pStyle w:val="TableContents"/>
              <w:bidi w:val="0"/>
              <w:spacing w:before="0" w:after="283"/>
              <w:jc w:val="start"/>
              <w:rPr/>
            </w:pPr>
            <w:r>
              <w:rPr/>
              <w:t xml:space="preserve">Use a hole cowboy to make discs </w:t>
            </w:r>
          </w:p>
        </w:tc>
      </w:tr>
      <w:tr>
        <w:trPr/>
        <w:tc>
          <w:tcPr>
            <w:tcW w:w="2763" w:type="dxa"/>
            <w:tcBorders/>
            <w:vAlign w:val="center"/>
          </w:tcPr>
          <w:p>
            <w:pPr>
              <w:pStyle w:val="TableContents"/>
              <w:bidi w:val="0"/>
              <w:spacing w:before="0" w:after="283"/>
              <w:jc w:val="start"/>
              <w:rPr/>
            </w:pPr>
            <w:r>
              <w:rPr/>
              <w:t xml:space="preserve">Type of Bacteria </w:t>
            </w:r>
          </w:p>
        </w:tc>
        <w:tc>
          <w:tcPr>
            <w:tcW w:w="2614" w:type="dxa"/>
            <w:tcBorders/>
            <w:vAlign w:val="center"/>
          </w:tcPr>
          <w:p>
            <w:pPr>
              <w:pStyle w:val="TableContents"/>
              <w:bidi w:val="0"/>
              <w:spacing w:before="0" w:after="283"/>
              <w:jc w:val="start"/>
              <w:rPr/>
            </w:pPr>
            <w:r>
              <w:rPr/>
              <w:t xml:space="preserve">Use the bacteriums provided </w:t>
            </w:r>
          </w:p>
        </w:tc>
      </w:tr>
      <w:tr>
        <w:trPr/>
        <w:tc>
          <w:tcPr>
            <w:tcW w:w="2763" w:type="dxa"/>
            <w:tcBorders/>
            <w:vAlign w:val="center"/>
          </w:tcPr>
          <w:p>
            <w:pPr>
              <w:pStyle w:val="TableContents"/>
              <w:bidi w:val="0"/>
              <w:spacing w:before="0" w:after="283"/>
              <w:jc w:val="start"/>
              <w:rPr/>
            </w:pPr>
            <w:r>
              <w:rPr/>
              <w:t xml:space="preserve">Temperature Bacteria Will Grow at </w:t>
            </w:r>
          </w:p>
        </w:tc>
        <w:tc>
          <w:tcPr>
            <w:tcW w:w="2614" w:type="dxa"/>
            <w:tcBorders/>
            <w:vAlign w:val="center"/>
          </w:tcPr>
          <w:p>
            <w:pPr>
              <w:pStyle w:val="TableContents"/>
              <w:bidi w:val="0"/>
              <w:spacing w:before="0" w:after="283"/>
              <w:jc w:val="start"/>
              <w:rPr/>
            </w:pPr>
            <w:r>
              <w:rPr/>
              <w:t xml:space="preserve">Use brooder for both petri dishes </w:t>
            </w:r>
          </w:p>
        </w:tc>
      </w:tr>
      <w:tr>
        <w:trPr/>
        <w:tc>
          <w:tcPr>
            <w:tcW w:w="2763" w:type="dxa"/>
            <w:tcBorders/>
            <w:vAlign w:val="center"/>
          </w:tcPr>
          <w:p>
            <w:pPr>
              <w:pStyle w:val="TableContents"/>
              <w:bidi w:val="0"/>
              <w:spacing w:before="0" w:after="283"/>
              <w:jc w:val="start"/>
              <w:rPr/>
            </w:pPr>
            <w:r>
              <w:rPr/>
              <w:t xml:space="preserve">Time bacteriums turn for </w:t>
            </w:r>
          </w:p>
        </w:tc>
        <w:tc>
          <w:tcPr>
            <w:tcW w:w="2614" w:type="dxa"/>
            <w:tcBorders/>
            <w:vAlign w:val="center"/>
          </w:tcPr>
          <w:p>
            <w:pPr>
              <w:pStyle w:val="TableContents"/>
              <w:bidi w:val="0"/>
              <w:spacing w:before="0" w:after="283"/>
              <w:jc w:val="start"/>
              <w:rPr/>
            </w:pPr>
            <w:r>
              <w:rPr/>
              <w:t xml:space="preserve">Incubate both dishes for 48 hours </w:t>
            </w:r>
          </w:p>
        </w:tc>
      </w:tr>
      <w:tr>
        <w:trPr/>
        <w:tc>
          <w:tcPr>
            <w:tcW w:w="2763" w:type="dxa"/>
            <w:tcBorders/>
            <w:vAlign w:val="center"/>
          </w:tcPr>
          <w:p>
            <w:pPr>
              <w:pStyle w:val="TableContents"/>
              <w:bidi w:val="0"/>
              <w:spacing w:before="0" w:after="283"/>
              <w:jc w:val="start"/>
              <w:rPr/>
            </w:pPr>
            <w:r>
              <w:rPr/>
              <w:t xml:space="preserve">Amount and type of agar </w:t>
            </w:r>
          </w:p>
        </w:tc>
        <w:tc>
          <w:tcPr>
            <w:tcW w:w="2614" w:type="dxa"/>
            <w:tcBorders/>
            <w:vAlign w:val="center"/>
          </w:tcPr>
          <w:p>
            <w:pPr>
              <w:pStyle w:val="TableContents"/>
              <w:bidi w:val="0"/>
              <w:spacing w:before="0" w:after="283"/>
              <w:jc w:val="start"/>
              <w:rPr/>
            </w:pPr>
            <w:r>
              <w:rPr/>
              <w:t xml:space="preserve">Use the agar provided </w:t>
            </w:r>
          </w:p>
        </w:tc>
      </w:tr>
      <w:tr>
        <w:trPr/>
        <w:tc>
          <w:tcPr>
            <w:tcW w:w="2763" w:type="dxa"/>
            <w:tcBorders/>
            <w:vAlign w:val="center"/>
          </w:tcPr>
          <w:p>
            <w:pPr>
              <w:pStyle w:val="TableContents"/>
              <w:bidi w:val="0"/>
              <w:spacing w:before="0" w:after="283"/>
              <w:jc w:val="start"/>
              <w:rPr/>
            </w:pPr>
            <w:r>
              <w:rPr/>
              <w:t xml:space="preserve">Surface are of agar </w:t>
            </w:r>
          </w:p>
        </w:tc>
        <w:tc>
          <w:tcPr>
            <w:tcW w:w="2614" w:type="dxa"/>
            <w:tcBorders/>
            <w:vAlign w:val="center"/>
          </w:tcPr>
          <w:p>
            <w:pPr>
              <w:pStyle w:val="TableContents"/>
              <w:bidi w:val="0"/>
              <w:spacing w:before="0" w:after="283"/>
              <w:jc w:val="start"/>
              <w:rPr/>
            </w:pPr>
            <w:r>
              <w:rPr/>
              <w:t xml:space="preserve">Use petri dishes of the same size </w:t>
            </w:r>
          </w:p>
        </w:tc>
      </w:tr>
    </w:tbl>
    <w:p>
      <w:pPr>
        <w:pStyle w:val="TextBody"/>
        <w:bidi w:val="0"/>
        <w:spacing w:before="0" w:after="283"/>
        <w:jc w:val="start"/>
        <w:rPr/>
      </w:pPr>
      <w:r>
        <w:rPr/>
        <w:t xml:space="preserve">Hypothesis: If the concentration of intoxicant in a manus sanitizer is increased, the size of the zone of suppression will be greater because antiseptics like ethyl alcohol and isopropyl alcohol “ kill sources by fade outing their indispensable proteins” ( Sherwood ) . </w:t>
      </w:r>
    </w:p>
    <w:p>
      <w:pPr>
        <w:pStyle w:val="TextBody"/>
        <w:bidi w:val="0"/>
        <w:spacing w:before="0" w:after="283"/>
        <w:jc w:val="start"/>
        <w:rPr/>
      </w:pPr>
      <w:r>
        <w:rPr/>
        <w:t xml:space="preserve">Using this information, the Dettol manus gel will kill the most bacteriums because it has the highest concentration of intoxicant ( 69. 4 % )Equipment set-up: Hole PuncherFilter PaperLatex GlovesHand SanitizersTweezersMarkerTape3 Petri Dishes </w:t>
      </w:r>
      <w:r>
        <w:rPr>
          <w:rStyle w:val="Emphasis"/>
        </w:rPr>
        <w:t xml:space="preserve">E. Coli </w:t>
      </w:r>
      <w:r>
        <w:rPr/>
        <w:t xml:space="preserve">BacteriaAgarIncubatorGraph PaperMethod: </w:t>
      </w:r>
    </w:p>
    <w:p>
      <w:pPr>
        <w:pStyle w:val="TextBody"/>
        <w:numPr>
          <w:ilvl w:val="0"/>
          <w:numId w:val="2"/>
        </w:numPr>
        <w:tabs>
          <w:tab w:val="clear" w:pos="1134"/>
          <w:tab w:val="left" w:pos="707" w:leader="none"/>
        </w:tabs>
        <w:bidi w:val="0"/>
        <w:ind w:start="707" w:hanging="283"/>
        <w:jc w:val="start"/>
        <w:rPr/>
      </w:pPr>
      <w:r>
        <w:rPr/>
        <w:t xml:space="preserve">Punch 8 holes in the filter paper utilizing a hole cowboy. </w:t>
      </w:r>
    </w:p>
    <w:p>
      <w:pPr>
        <w:pStyle w:val="TextBody"/>
        <w:numPr>
          <w:ilvl w:val="0"/>
          <w:numId w:val="0"/>
        </w:numPr>
        <w:bidi w:val="0"/>
        <w:ind w:start="707" w:hanging="0"/>
        <w:jc w:val="start"/>
        <w:rPr/>
      </w:pPr>
      <w:r>
        <w:rPr/>
        <w:t xml:space="preserve">Keep the little discs created. </w:t>
      </w:r>
    </w:p>
    <w:p>
      <w:pPr>
        <w:pStyle w:val="TextBody"/>
        <w:numPr>
          <w:ilvl w:val="0"/>
          <w:numId w:val="2"/>
        </w:numPr>
        <w:tabs>
          <w:tab w:val="clear" w:pos="1134"/>
          <w:tab w:val="left" w:pos="707" w:leader="none"/>
        </w:tabs>
        <w:bidi w:val="0"/>
        <w:spacing w:before="0" w:after="0"/>
        <w:ind w:start="707" w:hanging="283"/>
        <w:jc w:val="start"/>
        <w:rPr/>
      </w:pPr>
      <w:r>
        <w:rPr/>
        <w:t xml:space="preserve">Wear Latex baseball mitts for protection and to forestall taint. </w:t>
      </w:r>
    </w:p>
    <w:p>
      <w:pPr>
        <w:pStyle w:val="TextBody"/>
        <w:numPr>
          <w:ilvl w:val="0"/>
          <w:numId w:val="2"/>
        </w:numPr>
        <w:tabs>
          <w:tab w:val="clear" w:pos="1134"/>
          <w:tab w:val="left" w:pos="707" w:leader="none"/>
        </w:tabs>
        <w:bidi w:val="0"/>
        <w:spacing w:before="0" w:after="0"/>
        <w:ind w:start="707" w:hanging="283"/>
        <w:jc w:val="start"/>
        <w:rPr/>
      </w:pPr>
      <w:r>
        <w:rPr/>
        <w:t xml:space="preserve">In a petri dish, use Lifebuoy, Al Kamal, WOW and Dettol sanitizers so that there is adequate of them to cover the paper discs but non plenty for them to touch. </w:t>
      </w:r>
    </w:p>
    <w:p>
      <w:pPr>
        <w:pStyle w:val="TextBody"/>
        <w:numPr>
          <w:ilvl w:val="0"/>
          <w:numId w:val="2"/>
        </w:numPr>
        <w:tabs>
          <w:tab w:val="clear" w:pos="1134"/>
          <w:tab w:val="left" w:pos="707" w:leader="none"/>
        </w:tabs>
        <w:bidi w:val="0"/>
        <w:ind w:start="707" w:hanging="283"/>
        <w:jc w:val="start"/>
        <w:rPr/>
      </w:pPr>
      <w:r>
        <w:rPr/>
        <w:t xml:space="preserve">Use pincers to submerse 2 filter paper discs in each gel. </w:t>
      </w:r>
    </w:p>
    <w:p>
      <w:pPr>
        <w:pStyle w:val="TextBody"/>
        <w:numPr>
          <w:ilvl w:val="0"/>
          <w:numId w:val="2"/>
        </w:numPr>
        <w:tabs>
          <w:tab w:val="clear" w:pos="1134"/>
          <w:tab w:val="left" w:pos="707" w:leader="none"/>
        </w:tabs>
        <w:bidi w:val="0"/>
        <w:spacing w:before="0" w:after="0"/>
        <w:ind w:start="707" w:hanging="283"/>
        <w:jc w:val="start"/>
        <w:rPr/>
      </w:pPr>
      <w:r>
        <w:rPr/>
        <w:t xml:space="preserve">Turn a petri dish with bacteriums and agar upside down so that the palpebra is on the underside. </w:t>
      </w:r>
    </w:p>
    <w:p>
      <w:pPr>
        <w:pStyle w:val="TextBody"/>
        <w:numPr>
          <w:ilvl w:val="0"/>
          <w:numId w:val="2"/>
        </w:numPr>
        <w:tabs>
          <w:tab w:val="clear" w:pos="1134"/>
          <w:tab w:val="left" w:pos="707" w:leader="none"/>
        </w:tabs>
        <w:bidi w:val="0"/>
        <w:ind w:start="707" w:hanging="283"/>
        <w:jc w:val="start"/>
        <w:rPr/>
      </w:pPr>
      <w:r>
        <w:rPr/>
        <w:t xml:space="preserve">Raise the base of the petri dish and topographic point a filter paper disc of each gel on the surface utilizing pincers. Arrange them like so: </w:t>
      </w:r>
    </w:p>
    <w:p>
      <w:pPr>
        <w:pStyle w:val="TextBody"/>
        <w:bidi w:val="0"/>
        <w:jc w:val="start"/>
        <w:rPr/>
      </w:pPr>
      <w:r>
        <w:rPr/>
        <w:t xml:space="preserve">com/aaimagestore/essays/0756305. 006. png”/&gt; </w:t>
      </w:r>
    </w:p>
    <w:p>
      <w:pPr>
        <w:pStyle w:val="TextBody"/>
        <w:numPr>
          <w:ilvl w:val="0"/>
          <w:numId w:val="3"/>
        </w:numPr>
        <w:tabs>
          <w:tab w:val="clear" w:pos="1134"/>
          <w:tab w:val="left" w:pos="707" w:leader="none"/>
        </w:tabs>
        <w:bidi w:val="0"/>
        <w:spacing w:before="0" w:after="0"/>
        <w:ind w:start="707" w:hanging="283"/>
        <w:jc w:val="start"/>
        <w:rPr/>
      </w:pPr>
      <w:r>
        <w:rPr/>
        <w:t xml:space="preserve">Near the petri dish and label each disc. </w:t>
      </w:r>
    </w:p>
    <w:p>
      <w:pPr>
        <w:pStyle w:val="TextBody"/>
        <w:numPr>
          <w:ilvl w:val="0"/>
          <w:numId w:val="3"/>
        </w:numPr>
        <w:tabs>
          <w:tab w:val="clear" w:pos="1134"/>
          <w:tab w:val="left" w:pos="707" w:leader="none"/>
        </w:tabs>
        <w:bidi w:val="0"/>
        <w:spacing w:before="0" w:after="0"/>
        <w:ind w:start="707" w:hanging="283"/>
        <w:jc w:val="start"/>
        <w:rPr/>
      </w:pPr>
      <w:r>
        <w:rPr/>
        <w:t xml:space="preserve">Tape the dish and repeat stairss 5-8 for a 2nd petri dish. </w:t>
      </w:r>
    </w:p>
    <w:p>
      <w:pPr>
        <w:pStyle w:val="TextBody"/>
        <w:numPr>
          <w:ilvl w:val="0"/>
          <w:numId w:val="3"/>
        </w:numPr>
        <w:tabs>
          <w:tab w:val="clear" w:pos="1134"/>
          <w:tab w:val="left" w:pos="707" w:leader="none"/>
        </w:tabs>
        <w:bidi w:val="0"/>
        <w:spacing w:before="0" w:after="0"/>
        <w:ind w:start="707" w:hanging="283"/>
        <w:jc w:val="start"/>
        <w:rPr/>
      </w:pPr>
      <w:r>
        <w:rPr/>
        <w:t xml:space="preserve">Place both dishes in an brooder set at 37°C for 48 hours. </w:t>
      </w:r>
    </w:p>
    <w:p>
      <w:pPr>
        <w:pStyle w:val="TextBody"/>
        <w:numPr>
          <w:ilvl w:val="0"/>
          <w:numId w:val="3"/>
        </w:numPr>
        <w:tabs>
          <w:tab w:val="clear" w:pos="1134"/>
          <w:tab w:val="left" w:pos="707" w:leader="none"/>
        </w:tabs>
        <w:bidi w:val="0"/>
        <w:spacing w:before="0" w:after="0"/>
        <w:ind w:start="707" w:hanging="283"/>
        <w:jc w:val="start"/>
        <w:rPr/>
      </w:pPr>
      <w:r>
        <w:rPr/>
        <w:t xml:space="preserve">Take the dishes out and put a graph paper with 1mm squares under the dish. </w:t>
      </w:r>
    </w:p>
    <w:p>
      <w:pPr>
        <w:pStyle w:val="TextBody"/>
        <w:numPr>
          <w:ilvl w:val="0"/>
          <w:numId w:val="3"/>
        </w:numPr>
        <w:tabs>
          <w:tab w:val="clear" w:pos="1134"/>
          <w:tab w:val="left" w:pos="707" w:leader="none"/>
        </w:tabs>
        <w:bidi w:val="0"/>
        <w:ind w:start="707" w:hanging="283"/>
        <w:jc w:val="start"/>
        <w:rPr/>
      </w:pPr>
      <w:r>
        <w:rPr/>
        <w:t xml:space="preserve">Use the graph paper to number the country of the zone of suppression ( where the bacteriums did non turn ) for each manus gel in millimeter. </w:t>
      </w:r>
    </w:p>
    <w:p>
      <w:pPr>
        <w:pStyle w:val="TextBody"/>
        <w:numPr>
          <w:ilvl w:val="0"/>
          <w:numId w:val="0"/>
        </w:numPr>
        <w:bidi w:val="0"/>
        <w:ind w:start="707" w:hanging="0"/>
        <w:jc w:val="start"/>
        <w:rPr/>
      </w:pPr>
      <w:r>
        <w:rPr/>
        <w:t xml:space="preserve">Data Observations: </w:t>
      </w:r>
      <w:r>
        <w:rPr>
          <w:rStyle w:val="Emphasis"/>
        </w:rPr>
        <w:t xml:space="preserve">Table 1: Consequences </w:t>
      </w:r>
    </w:p>
    <w:tbl>
      <w:tblPr>
        <w:tblW w:w="4670" w:type="dxa"/>
        <w:jc w:val="start"/>
        <w:tblInd w:w="707" w:type="dxa"/>
        <w:tblLayout w:type="fixed"/>
        <w:tblCellMar>
          <w:top w:w="28" w:type="dxa"/>
          <w:start w:w="28" w:type="dxa"/>
          <w:bottom w:w="28" w:type="dxa"/>
          <w:end w:w="28" w:type="dxa"/>
        </w:tblCellMar>
      </w:tblPr>
      <w:tblGrid>
        <w:gridCol w:w="991"/>
        <w:gridCol w:w="1141"/>
        <w:gridCol w:w="1021"/>
        <w:gridCol w:w="556"/>
        <w:gridCol w:w="961"/>
      </w:tblGrid>
      <w:tr>
        <w:trPr/>
        <w:tc>
          <w:tcPr>
            <w:tcW w:w="991"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spacing w:before="0" w:after="283"/>
              <w:jc w:val="start"/>
              <w:rPr>
                <w:sz w:val="4"/>
                <w:szCs w:val="4"/>
              </w:rPr>
            </w:pPr>
            <w:r>
              <w:rPr>
                <w:sz w:val="4"/>
                <w:szCs w:val="4"/>
              </w:rPr>
            </w:r>
          </w:p>
        </w:tc>
        <w:tc>
          <w:tcPr>
            <w:tcW w:w="1021" w:type="dxa"/>
            <w:tcBorders/>
            <w:vAlign w:val="center"/>
          </w:tcPr>
          <w:p>
            <w:pPr>
              <w:pStyle w:val="TableContents"/>
              <w:bidi w:val="0"/>
              <w:spacing w:before="0" w:after="283"/>
              <w:jc w:val="start"/>
              <w:rPr/>
            </w:pPr>
            <w:r>
              <w:rPr/>
              <w:t xml:space="preserve">Zone of Inhibition /mm </w:t>
            </w:r>
          </w:p>
        </w:tc>
        <w:tc>
          <w:tcPr>
            <w:tcW w:w="556" w:type="dxa"/>
            <w:tcBorders/>
          </w:tcPr>
          <w:p>
            <w:pPr>
              <w:pStyle w:val="TableContents"/>
              <w:bidi w:val="0"/>
              <w:spacing w:before="0" w:after="283"/>
              <w:jc w:val="start"/>
              <w:rPr>
                <w:sz w:val="4"/>
                <w:szCs w:val="4"/>
              </w:rPr>
            </w:pPr>
            <w:r>
              <w:rPr>
                <w:sz w:val="4"/>
                <w:szCs w:val="4"/>
              </w:rPr>
            </w:r>
          </w:p>
        </w:tc>
        <w:tc>
          <w:tcPr>
            <w:tcW w:w="961" w:type="dxa"/>
            <w:tcBorders/>
          </w:tcPr>
          <w:p>
            <w:pPr>
              <w:pStyle w:val="TableContents"/>
              <w:bidi w:val="0"/>
              <w:spacing w:before="0" w:after="283"/>
              <w:jc w:val="start"/>
              <w:rPr>
                <w:sz w:val="4"/>
                <w:szCs w:val="4"/>
              </w:rPr>
            </w:pPr>
            <w:r>
              <w:rPr>
                <w:sz w:val="4"/>
                <w:szCs w:val="4"/>
              </w:rPr>
            </w:r>
          </w:p>
        </w:tc>
      </w:tr>
      <w:tr>
        <w:trPr/>
        <w:tc>
          <w:tcPr>
            <w:tcW w:w="991" w:type="dxa"/>
            <w:tcBorders/>
            <w:vAlign w:val="center"/>
          </w:tcPr>
          <w:p>
            <w:pPr>
              <w:pStyle w:val="TableContents"/>
              <w:bidi w:val="0"/>
              <w:spacing w:before="0" w:after="283"/>
              <w:jc w:val="start"/>
              <w:rPr/>
            </w:pPr>
            <w:r>
              <w:rPr/>
              <w:t xml:space="preserve">Brand of Sanitizer </w:t>
            </w:r>
          </w:p>
        </w:tc>
        <w:tc>
          <w:tcPr>
            <w:tcW w:w="1141" w:type="dxa"/>
            <w:tcBorders/>
            <w:vAlign w:val="center"/>
          </w:tcPr>
          <w:p>
            <w:pPr>
              <w:pStyle w:val="TableContents"/>
              <w:bidi w:val="0"/>
              <w:spacing w:before="0" w:after="283"/>
              <w:jc w:val="start"/>
              <w:rPr/>
            </w:pPr>
            <w:r>
              <w:rPr/>
              <w:t xml:space="preserve">Alcohol Percentage ( % ) </w:t>
            </w:r>
          </w:p>
        </w:tc>
        <w:tc>
          <w:tcPr>
            <w:tcW w:w="1021" w:type="dxa"/>
            <w:tcBorders/>
            <w:vAlign w:val="center"/>
          </w:tcPr>
          <w:p>
            <w:pPr>
              <w:pStyle w:val="TableContents"/>
              <w:bidi w:val="0"/>
              <w:spacing w:before="0" w:after="283"/>
              <w:jc w:val="start"/>
              <w:rPr/>
            </w:pPr>
            <w:r>
              <w:rPr/>
              <w:t xml:space="preserve">Dish 1 </w:t>
            </w:r>
          </w:p>
        </w:tc>
        <w:tc>
          <w:tcPr>
            <w:tcW w:w="556" w:type="dxa"/>
            <w:tcBorders/>
            <w:vAlign w:val="center"/>
          </w:tcPr>
          <w:p>
            <w:pPr>
              <w:pStyle w:val="TableContents"/>
              <w:bidi w:val="0"/>
              <w:spacing w:before="0" w:after="283"/>
              <w:jc w:val="start"/>
              <w:rPr/>
            </w:pPr>
            <w:r>
              <w:rPr/>
              <w:t xml:space="preserve">Dish 2 </w:t>
            </w:r>
          </w:p>
        </w:tc>
        <w:tc>
          <w:tcPr>
            <w:tcW w:w="961" w:type="dxa"/>
            <w:tcBorders/>
            <w:vAlign w:val="center"/>
          </w:tcPr>
          <w:p>
            <w:pPr>
              <w:pStyle w:val="TableContents"/>
              <w:bidi w:val="0"/>
              <w:spacing w:before="0" w:after="283"/>
              <w:jc w:val="start"/>
              <w:rPr/>
            </w:pPr>
            <w:r>
              <w:rPr/>
              <w:t xml:space="preserve">Average </w:t>
            </w:r>
          </w:p>
        </w:tc>
      </w:tr>
      <w:tr>
        <w:trPr/>
        <w:tc>
          <w:tcPr>
            <w:tcW w:w="991" w:type="dxa"/>
            <w:tcBorders/>
            <w:vAlign w:val="center"/>
          </w:tcPr>
          <w:p>
            <w:pPr>
              <w:pStyle w:val="TableContents"/>
              <w:bidi w:val="0"/>
              <w:spacing w:before="0" w:after="283"/>
              <w:jc w:val="start"/>
              <w:rPr/>
            </w:pPr>
            <w:r>
              <w:rPr/>
              <w:t xml:space="preserve">Al Kamal </w:t>
            </w:r>
          </w:p>
        </w:tc>
        <w:tc>
          <w:tcPr>
            <w:tcW w:w="1141" w:type="dxa"/>
            <w:tcBorders/>
            <w:vAlign w:val="center"/>
          </w:tcPr>
          <w:p>
            <w:pPr>
              <w:pStyle w:val="TableContents"/>
              <w:bidi w:val="0"/>
              <w:spacing w:before="0" w:after="283"/>
              <w:jc w:val="start"/>
              <w:rPr/>
            </w:pPr>
            <w:r>
              <w:rPr/>
              <w:t xml:space="preserve">Unknown </w:t>
            </w:r>
          </w:p>
        </w:tc>
        <w:tc>
          <w:tcPr>
            <w:tcW w:w="1021" w:type="dxa"/>
            <w:tcBorders/>
            <w:vAlign w:val="center"/>
          </w:tcPr>
          <w:p>
            <w:pPr>
              <w:pStyle w:val="TableContents"/>
              <w:bidi w:val="0"/>
              <w:jc w:val="start"/>
              <w:rPr/>
            </w:pPr>
            <w:r>
              <w:rPr/>
              <w:t xml:space="preserve">0. </w:t>
            </w:r>
          </w:p>
          <w:p>
            <w:pPr>
              <w:pStyle w:val="TableContents"/>
              <w:bidi w:val="0"/>
              <w:spacing w:before="0" w:after="283"/>
              <w:jc w:val="start"/>
              <w:rPr/>
            </w:pPr>
            <w:r>
              <w:rPr/>
              <w:t xml:space="preserve">0 </w:t>
            </w:r>
          </w:p>
        </w:tc>
        <w:tc>
          <w:tcPr>
            <w:tcW w:w="556" w:type="dxa"/>
            <w:tcBorders/>
            <w:vAlign w:val="center"/>
          </w:tcPr>
          <w:p>
            <w:pPr>
              <w:pStyle w:val="TableContents"/>
              <w:bidi w:val="0"/>
              <w:spacing w:before="0" w:after="283"/>
              <w:jc w:val="start"/>
              <w:rPr/>
            </w:pPr>
            <w:r>
              <w:rPr/>
              <w:t xml:space="preserve">6. 0 </w:t>
            </w:r>
          </w:p>
        </w:tc>
        <w:tc>
          <w:tcPr>
            <w:tcW w:w="961" w:type="dxa"/>
            <w:tcBorders/>
            <w:vAlign w:val="center"/>
          </w:tcPr>
          <w:p>
            <w:pPr>
              <w:pStyle w:val="TableContents"/>
              <w:bidi w:val="0"/>
              <w:spacing w:before="0" w:after="283"/>
              <w:jc w:val="start"/>
              <w:rPr/>
            </w:pPr>
            <w:r>
              <w:rPr/>
              <w:t xml:space="preserve">3 </w:t>
            </w:r>
          </w:p>
        </w:tc>
      </w:tr>
      <w:tr>
        <w:trPr/>
        <w:tc>
          <w:tcPr>
            <w:tcW w:w="991" w:type="dxa"/>
            <w:tcBorders/>
            <w:vAlign w:val="center"/>
          </w:tcPr>
          <w:p>
            <w:pPr>
              <w:pStyle w:val="TableContents"/>
              <w:bidi w:val="0"/>
              <w:spacing w:before="0" w:after="283"/>
              <w:jc w:val="start"/>
              <w:rPr/>
            </w:pPr>
            <w:r>
              <w:rPr/>
              <w:t xml:space="preserve">Dettol </w:t>
            </w:r>
          </w:p>
        </w:tc>
        <w:tc>
          <w:tcPr>
            <w:tcW w:w="1141" w:type="dxa"/>
            <w:tcBorders/>
            <w:vAlign w:val="center"/>
          </w:tcPr>
          <w:p>
            <w:pPr>
              <w:pStyle w:val="TableContents"/>
              <w:bidi w:val="0"/>
              <w:spacing w:before="0" w:after="283"/>
              <w:jc w:val="start"/>
              <w:rPr/>
            </w:pPr>
            <w:r>
              <w:rPr/>
              <w:t xml:space="preserve">69. 4 </w:t>
            </w:r>
          </w:p>
        </w:tc>
        <w:tc>
          <w:tcPr>
            <w:tcW w:w="1021" w:type="dxa"/>
            <w:tcBorders/>
            <w:vAlign w:val="center"/>
          </w:tcPr>
          <w:p>
            <w:pPr>
              <w:pStyle w:val="TableContents"/>
              <w:bidi w:val="0"/>
              <w:spacing w:before="0" w:after="283"/>
              <w:jc w:val="start"/>
              <w:rPr/>
            </w:pPr>
            <w:r>
              <w:rPr/>
              <w:t xml:space="preserve">7. 5 </w:t>
            </w:r>
          </w:p>
        </w:tc>
        <w:tc>
          <w:tcPr>
            <w:tcW w:w="556" w:type="dxa"/>
            <w:tcBorders/>
            <w:vAlign w:val="center"/>
          </w:tcPr>
          <w:p>
            <w:pPr>
              <w:pStyle w:val="TableContents"/>
              <w:bidi w:val="0"/>
              <w:spacing w:before="0" w:after="283"/>
              <w:jc w:val="start"/>
              <w:rPr/>
            </w:pPr>
            <w:r>
              <w:rPr/>
              <w:t xml:space="preserve">8. 0 </w:t>
            </w:r>
          </w:p>
        </w:tc>
        <w:tc>
          <w:tcPr>
            <w:tcW w:w="961" w:type="dxa"/>
            <w:tcBorders/>
            <w:vAlign w:val="center"/>
          </w:tcPr>
          <w:p>
            <w:pPr>
              <w:pStyle w:val="TableContents"/>
              <w:bidi w:val="0"/>
              <w:spacing w:before="0" w:after="283"/>
              <w:jc w:val="start"/>
              <w:rPr/>
            </w:pPr>
            <w:r>
              <w:rPr/>
              <w:t xml:space="preserve">7. 75 </w:t>
            </w:r>
          </w:p>
        </w:tc>
      </w:tr>
      <w:tr>
        <w:trPr/>
        <w:tc>
          <w:tcPr>
            <w:tcW w:w="991" w:type="dxa"/>
            <w:tcBorders/>
            <w:vAlign w:val="center"/>
          </w:tcPr>
          <w:p>
            <w:pPr>
              <w:pStyle w:val="TableContents"/>
              <w:bidi w:val="0"/>
              <w:spacing w:before="0" w:after="283"/>
              <w:jc w:val="start"/>
              <w:rPr/>
            </w:pPr>
            <w:r>
              <w:rPr/>
              <w:t xml:space="preserve">Lifebuoy </w:t>
            </w:r>
          </w:p>
        </w:tc>
        <w:tc>
          <w:tcPr>
            <w:tcW w:w="1141" w:type="dxa"/>
            <w:tcBorders/>
            <w:vAlign w:val="center"/>
          </w:tcPr>
          <w:p>
            <w:pPr>
              <w:pStyle w:val="TableContents"/>
              <w:bidi w:val="0"/>
              <w:spacing w:before="0" w:after="283"/>
              <w:jc w:val="start"/>
              <w:rPr/>
            </w:pPr>
            <w:r>
              <w:rPr/>
              <w:t xml:space="preserve">55 </w:t>
            </w:r>
          </w:p>
        </w:tc>
        <w:tc>
          <w:tcPr>
            <w:tcW w:w="1021" w:type="dxa"/>
            <w:tcBorders/>
            <w:vAlign w:val="center"/>
          </w:tcPr>
          <w:p>
            <w:pPr>
              <w:pStyle w:val="TableContents"/>
              <w:bidi w:val="0"/>
              <w:spacing w:before="0" w:after="283"/>
              <w:jc w:val="start"/>
              <w:rPr/>
            </w:pPr>
            <w:r>
              <w:rPr/>
              <w:t xml:space="preserve">6. 0 </w:t>
            </w:r>
          </w:p>
        </w:tc>
        <w:tc>
          <w:tcPr>
            <w:tcW w:w="556" w:type="dxa"/>
            <w:tcBorders/>
            <w:vAlign w:val="center"/>
          </w:tcPr>
          <w:p>
            <w:pPr>
              <w:pStyle w:val="TableContents"/>
              <w:bidi w:val="0"/>
              <w:spacing w:before="0" w:after="283"/>
              <w:jc w:val="start"/>
              <w:rPr/>
            </w:pPr>
            <w:r>
              <w:rPr/>
              <w:t xml:space="preserve">0. 0 </w:t>
            </w:r>
          </w:p>
        </w:tc>
        <w:tc>
          <w:tcPr>
            <w:tcW w:w="961" w:type="dxa"/>
            <w:tcBorders/>
            <w:vAlign w:val="center"/>
          </w:tcPr>
          <w:p>
            <w:pPr>
              <w:pStyle w:val="TableContents"/>
              <w:bidi w:val="0"/>
              <w:spacing w:before="0" w:after="283"/>
              <w:jc w:val="start"/>
              <w:rPr/>
            </w:pPr>
            <w:r>
              <w:rPr/>
              <w:t xml:space="preserve">3 </w:t>
            </w:r>
          </w:p>
        </w:tc>
      </w:tr>
      <w:tr>
        <w:trPr/>
        <w:tc>
          <w:tcPr>
            <w:tcW w:w="991" w:type="dxa"/>
            <w:tcBorders/>
            <w:vAlign w:val="center"/>
          </w:tcPr>
          <w:p>
            <w:pPr>
              <w:pStyle w:val="TableContents"/>
              <w:bidi w:val="0"/>
              <w:spacing w:before="0" w:after="283"/>
              <w:jc w:val="start"/>
              <w:rPr/>
            </w:pPr>
            <w:r>
              <w:rPr/>
              <w:t xml:space="preserve">World of Wipes </w:t>
            </w:r>
          </w:p>
        </w:tc>
        <w:tc>
          <w:tcPr>
            <w:tcW w:w="1141" w:type="dxa"/>
            <w:tcBorders/>
            <w:vAlign w:val="center"/>
          </w:tcPr>
          <w:p>
            <w:pPr>
              <w:pStyle w:val="TableContents"/>
              <w:bidi w:val="0"/>
              <w:spacing w:before="0" w:after="283"/>
              <w:jc w:val="start"/>
              <w:rPr/>
            </w:pPr>
            <w:r>
              <w:rPr/>
              <w:t xml:space="preserve">62 </w:t>
            </w:r>
          </w:p>
        </w:tc>
        <w:tc>
          <w:tcPr>
            <w:tcW w:w="1021" w:type="dxa"/>
            <w:tcBorders/>
            <w:vAlign w:val="center"/>
          </w:tcPr>
          <w:p>
            <w:pPr>
              <w:pStyle w:val="TableContents"/>
              <w:bidi w:val="0"/>
              <w:jc w:val="start"/>
              <w:rPr/>
            </w:pPr>
            <w:r>
              <w:rPr/>
              <w:t xml:space="preserve">9. </w:t>
            </w:r>
          </w:p>
          <w:p>
            <w:pPr>
              <w:pStyle w:val="TableContents"/>
              <w:bidi w:val="0"/>
              <w:spacing w:before="0" w:after="283"/>
              <w:jc w:val="start"/>
              <w:rPr/>
            </w:pPr>
            <w:r>
              <w:rPr/>
              <w:t xml:space="preserve">5 </w:t>
            </w:r>
          </w:p>
        </w:tc>
        <w:tc>
          <w:tcPr>
            <w:tcW w:w="556" w:type="dxa"/>
            <w:tcBorders/>
            <w:vAlign w:val="center"/>
          </w:tcPr>
          <w:p>
            <w:pPr>
              <w:pStyle w:val="TableContents"/>
              <w:bidi w:val="0"/>
              <w:spacing w:before="0" w:after="283"/>
              <w:jc w:val="start"/>
              <w:rPr/>
            </w:pPr>
            <w:r>
              <w:rPr/>
              <w:t xml:space="preserve">6. 0 </w:t>
            </w:r>
          </w:p>
        </w:tc>
        <w:tc>
          <w:tcPr>
            <w:tcW w:w="961" w:type="dxa"/>
            <w:tcBorders/>
            <w:vAlign w:val="center"/>
          </w:tcPr>
          <w:p>
            <w:pPr>
              <w:pStyle w:val="TableContents"/>
              <w:bidi w:val="0"/>
              <w:spacing w:before="0" w:after="283"/>
              <w:jc w:val="start"/>
              <w:rPr/>
            </w:pPr>
            <w:r>
              <w:rPr/>
              <w:t xml:space="preserve">7. 75 </w:t>
            </w:r>
          </w:p>
        </w:tc>
      </w:tr>
      <w:tr>
        <w:trPr/>
        <w:tc>
          <w:tcPr>
            <w:tcW w:w="991"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spacing w:before="0" w:after="283"/>
              <w:jc w:val="start"/>
              <w:rPr>
                <w:sz w:val="4"/>
                <w:szCs w:val="4"/>
              </w:rPr>
            </w:pPr>
            <w:r>
              <w:rPr>
                <w:sz w:val="4"/>
                <w:szCs w:val="4"/>
              </w:rPr>
            </w:r>
          </w:p>
        </w:tc>
        <w:tc>
          <w:tcPr>
            <w:tcW w:w="1021" w:type="dxa"/>
            <w:tcBorders/>
            <w:vAlign w:val="center"/>
          </w:tcPr>
          <w:p>
            <w:pPr>
              <w:pStyle w:val="TableContents"/>
              <w:bidi w:val="0"/>
              <w:spacing w:before="0" w:after="283"/>
              <w:jc w:val="start"/>
              <w:rPr>
                <w:sz w:val="4"/>
                <w:szCs w:val="4"/>
              </w:rPr>
            </w:pPr>
            <w:r>
              <w:rPr>
                <w:sz w:val="4"/>
                <w:szCs w:val="4"/>
              </w:rPr>
            </w:r>
          </w:p>
        </w:tc>
        <w:tc>
          <w:tcPr>
            <w:tcW w:w="55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r>
    </w:tbl>
    <w:p>
      <w:pPr>
        <w:pStyle w:val="TextBody"/>
        <w:numPr>
          <w:ilvl w:val="0"/>
          <w:numId w:val="0"/>
        </w:numPr>
        <w:bidi w:val="0"/>
        <w:ind w:start="707" w:hanging="0"/>
        <w:jc w:val="start"/>
        <w:rPr/>
      </w:pPr>
      <w:r>
        <w:rPr>
          <w:rStyle w:val="Emphasis"/>
        </w:rPr>
        <w:t xml:space="preserve">Graph 1: Average Zone of Inhibition </w:t>
      </w:r>
      <w:r>
        <w:rPr/>
        <w:t xml:space="preserve">Decision: It was predicted that the manus sanitizer with the highest concentration of intoxicant would kill the most bacteriums and therefore created the largest zone of suppression. The consequences prove that this is true. There is a clear positive correlativity that shows that as the concentration of intoxicant additions so does the zone of suppression. </w:t>
      </w:r>
    </w:p>
    <w:p>
      <w:pPr>
        <w:pStyle w:val="TextBody"/>
        <w:numPr>
          <w:ilvl w:val="0"/>
          <w:numId w:val="0"/>
        </w:numPr>
        <w:bidi w:val="0"/>
        <w:ind w:start="707" w:hanging="0"/>
        <w:jc w:val="start"/>
        <w:rPr/>
      </w:pPr>
      <w:r>
        <w:rPr/>
        <w:t xml:space="preserve">The FDA agrees that 62 % and higher degrees of ( ethyl and isopropyl ) intoxicant provide for “ safe and effectual antibacterial protection” ( Smith ) . The information ; albeit a spot limited shows this. Sanitizers with 62 % and above concentration have more than twice the zone of suppression. </w:t>
      </w:r>
    </w:p>
    <w:p>
      <w:pPr>
        <w:pStyle w:val="TextBody"/>
        <w:numPr>
          <w:ilvl w:val="0"/>
          <w:numId w:val="0"/>
        </w:numPr>
        <w:bidi w:val="0"/>
        <w:ind w:start="707" w:hanging="0"/>
        <w:jc w:val="start"/>
        <w:rPr/>
      </w:pPr>
      <w:r>
        <w:rPr/>
        <w:t xml:space="preserve">This shows that ethyl and isopropyl intoxicants do kill bacteriums and the higher the concentration, the better they kill bacteriums. This is because these types of intoxicant putting to deaths bacteriums by doing the cellular membrane ( holds everything together ) of the bacteriums more soluble in H2O. This causes it to lose its construction and autumn apart. As this happens, the intoxicant can perforate the cell and denature the proteins. Proteins are complex forms and their construction is linked to the map of that protein. Denatured proteins ( such as when they come in contact with these intoxicants ) lose their construction and therefore their map thereby killing the map of the bacteriums. Evaluation: </w:t>
      </w:r>
    </w:p>
    <w:tbl>
      <w:tblPr>
        <w:tblW w:w="4670" w:type="dxa"/>
        <w:jc w:val="start"/>
        <w:tblInd w:w="707" w:type="dxa"/>
        <w:tblLayout w:type="fixed"/>
        <w:tblCellMar>
          <w:top w:w="28" w:type="dxa"/>
          <w:start w:w="28" w:type="dxa"/>
          <w:bottom w:w="28" w:type="dxa"/>
          <w:end w:w="28" w:type="dxa"/>
        </w:tblCellMar>
      </w:tblPr>
      <w:tblGrid>
        <w:gridCol w:w="1590"/>
        <w:gridCol w:w="1541"/>
        <w:gridCol w:w="1539"/>
      </w:tblGrid>
      <w:tr>
        <w:trPr/>
        <w:tc>
          <w:tcPr>
            <w:tcW w:w="1590" w:type="dxa"/>
            <w:tcBorders/>
            <w:vAlign w:val="center"/>
          </w:tcPr>
          <w:p>
            <w:pPr>
              <w:pStyle w:val="TableContents"/>
              <w:bidi w:val="0"/>
              <w:spacing w:before="0" w:after="283"/>
              <w:jc w:val="start"/>
              <w:rPr/>
            </w:pPr>
            <w:r>
              <w:rPr>
                <w:rStyle w:val="Emphasis"/>
              </w:rPr>
              <w:t xml:space="preserve">What went incorrect? </w:t>
            </w:r>
          </w:p>
        </w:tc>
        <w:tc>
          <w:tcPr>
            <w:tcW w:w="1541" w:type="dxa"/>
            <w:tcBorders/>
            <w:vAlign w:val="center"/>
          </w:tcPr>
          <w:p>
            <w:pPr>
              <w:pStyle w:val="TableContents"/>
              <w:bidi w:val="0"/>
              <w:spacing w:before="0" w:after="283"/>
              <w:jc w:val="start"/>
              <w:rPr/>
            </w:pPr>
            <w:r>
              <w:rPr>
                <w:rStyle w:val="Emphasis"/>
              </w:rPr>
              <w:t xml:space="preserve">How could this hold affected the informations? </w:t>
            </w:r>
          </w:p>
        </w:tc>
        <w:tc>
          <w:tcPr>
            <w:tcW w:w="1539" w:type="dxa"/>
            <w:tcBorders/>
            <w:vAlign w:val="center"/>
          </w:tcPr>
          <w:p>
            <w:pPr>
              <w:pStyle w:val="TableContents"/>
              <w:bidi w:val="0"/>
              <w:spacing w:before="0" w:after="283"/>
              <w:jc w:val="start"/>
              <w:rPr/>
            </w:pPr>
            <w:r>
              <w:rPr>
                <w:rStyle w:val="Emphasis"/>
              </w:rPr>
              <w:t xml:space="preserve">Improvements for following clip: </w:t>
            </w:r>
          </w:p>
        </w:tc>
      </w:tr>
      <w:tr>
        <w:trPr/>
        <w:tc>
          <w:tcPr>
            <w:tcW w:w="1590" w:type="dxa"/>
            <w:tcBorders/>
            <w:vAlign w:val="center"/>
          </w:tcPr>
          <w:p>
            <w:pPr>
              <w:pStyle w:val="TableContents"/>
              <w:bidi w:val="0"/>
              <w:spacing w:before="0" w:after="283"/>
              <w:jc w:val="start"/>
              <w:rPr/>
            </w:pPr>
            <w:r>
              <w:rPr/>
              <w:t xml:space="preserve">The same pincers were used to manage the filter paper discs in the different manus gels </w:t>
            </w:r>
          </w:p>
        </w:tc>
        <w:tc>
          <w:tcPr>
            <w:tcW w:w="1541" w:type="dxa"/>
            <w:tcBorders/>
            <w:vAlign w:val="center"/>
          </w:tcPr>
          <w:p>
            <w:pPr>
              <w:pStyle w:val="TableContents"/>
              <w:bidi w:val="0"/>
              <w:jc w:val="start"/>
              <w:rPr/>
            </w:pPr>
            <w:r>
              <w:rPr/>
              <w:t xml:space="preserve">The pincers could hold contaminated the manus gels with other manus gels. </w:t>
            </w:r>
          </w:p>
          <w:p>
            <w:pPr>
              <w:pStyle w:val="TableContents"/>
              <w:bidi w:val="0"/>
              <w:spacing w:before="0" w:after="283"/>
              <w:jc w:val="start"/>
              <w:rPr/>
            </w:pPr>
            <w:r>
              <w:rPr/>
              <w:t xml:space="preserve">This means that the information is non valid. </w:t>
            </w:r>
          </w:p>
        </w:tc>
        <w:tc>
          <w:tcPr>
            <w:tcW w:w="1539" w:type="dxa"/>
            <w:tcBorders/>
            <w:vAlign w:val="center"/>
          </w:tcPr>
          <w:p>
            <w:pPr>
              <w:pStyle w:val="TableContents"/>
              <w:bidi w:val="0"/>
              <w:spacing w:before="0" w:after="283"/>
              <w:jc w:val="start"/>
              <w:rPr/>
            </w:pPr>
            <w:r>
              <w:rPr/>
              <w:t xml:space="preserve">Wipe and clean the pincers before managing each manus gel </w:t>
            </w:r>
          </w:p>
        </w:tc>
      </w:tr>
      <w:tr>
        <w:trPr/>
        <w:tc>
          <w:tcPr>
            <w:tcW w:w="1590" w:type="dxa"/>
            <w:tcBorders/>
            <w:vAlign w:val="center"/>
          </w:tcPr>
          <w:p>
            <w:pPr>
              <w:pStyle w:val="TableContents"/>
              <w:bidi w:val="0"/>
              <w:spacing w:before="0" w:after="283"/>
              <w:jc w:val="start"/>
              <w:rPr/>
            </w:pPr>
            <w:r>
              <w:rPr/>
              <w:t xml:space="preserve">The filter paper discs were curved </w:t>
            </w:r>
          </w:p>
        </w:tc>
        <w:tc>
          <w:tcPr>
            <w:tcW w:w="1541" w:type="dxa"/>
            <w:tcBorders/>
            <w:vAlign w:val="center"/>
          </w:tcPr>
          <w:p>
            <w:pPr>
              <w:pStyle w:val="TableContents"/>
              <w:bidi w:val="0"/>
              <w:spacing w:before="0" w:after="283"/>
              <w:jc w:val="start"/>
              <w:rPr/>
            </w:pPr>
            <w:r>
              <w:rPr/>
              <w:t xml:space="preserve">The surface country that was in contact with the agar was non the same across all the tests. This means that the sum of manus gels in contact with the bacterium was inconsistent. </w:t>
            </w:r>
          </w:p>
        </w:tc>
        <w:tc>
          <w:tcPr>
            <w:tcW w:w="1539" w:type="dxa"/>
            <w:tcBorders/>
            <w:vAlign w:val="center"/>
          </w:tcPr>
          <w:p>
            <w:pPr>
              <w:pStyle w:val="TableContents"/>
              <w:bidi w:val="0"/>
              <w:spacing w:before="0" w:after="283"/>
              <w:jc w:val="start"/>
              <w:rPr/>
            </w:pPr>
            <w:r>
              <w:rPr/>
              <w:t xml:space="preserve">Use a level portion of filter paper to do the discs </w:t>
            </w:r>
          </w:p>
        </w:tc>
      </w:tr>
      <w:tr>
        <w:trPr/>
        <w:tc>
          <w:tcPr>
            <w:tcW w:w="1590" w:type="dxa"/>
            <w:tcBorders/>
            <w:vAlign w:val="center"/>
          </w:tcPr>
          <w:p>
            <w:pPr>
              <w:pStyle w:val="TableContents"/>
              <w:bidi w:val="0"/>
              <w:spacing w:before="0" w:after="283"/>
              <w:jc w:val="start"/>
              <w:rPr/>
            </w:pPr>
            <w:r>
              <w:rPr/>
              <w:t xml:space="preserve">Lack of tests: the sanitizers were merely tested two times </w:t>
            </w:r>
          </w:p>
        </w:tc>
        <w:tc>
          <w:tcPr>
            <w:tcW w:w="1541" w:type="dxa"/>
            <w:tcBorders/>
            <w:vAlign w:val="center"/>
          </w:tcPr>
          <w:p>
            <w:pPr>
              <w:pStyle w:val="TableContents"/>
              <w:bidi w:val="0"/>
              <w:spacing w:before="0" w:after="283"/>
              <w:jc w:val="start"/>
              <w:rPr/>
            </w:pPr>
            <w:r>
              <w:rPr/>
              <w:t xml:space="preserve">The information is non be really dependable. The scope of some sanitizers is really large and there can be outliers </w:t>
            </w:r>
          </w:p>
        </w:tc>
        <w:tc>
          <w:tcPr>
            <w:tcW w:w="1539" w:type="dxa"/>
            <w:tcBorders/>
            <w:vAlign w:val="center"/>
          </w:tcPr>
          <w:p>
            <w:pPr>
              <w:pStyle w:val="TableContents"/>
              <w:bidi w:val="0"/>
              <w:spacing w:before="0" w:after="283"/>
              <w:jc w:val="start"/>
              <w:rPr/>
            </w:pPr>
            <w:r>
              <w:rPr/>
              <w:t xml:space="preserve">Make more tests with more petri dishes </w:t>
            </w:r>
          </w:p>
        </w:tc>
      </w:tr>
      <w:tr>
        <w:trPr/>
        <w:tc>
          <w:tcPr>
            <w:tcW w:w="1590" w:type="dxa"/>
            <w:tcBorders/>
            <w:vAlign w:val="center"/>
          </w:tcPr>
          <w:p>
            <w:pPr>
              <w:pStyle w:val="TableContents"/>
              <w:bidi w:val="0"/>
              <w:spacing w:before="0" w:after="283"/>
              <w:jc w:val="start"/>
              <w:rPr/>
            </w:pPr>
            <w:r>
              <w:rPr/>
              <w:t xml:space="preserve">The bacteriums strain could hold been immune to one or more of the sanitizers </w:t>
            </w:r>
          </w:p>
        </w:tc>
        <w:tc>
          <w:tcPr>
            <w:tcW w:w="1541" w:type="dxa"/>
            <w:tcBorders/>
            <w:vAlign w:val="center"/>
          </w:tcPr>
          <w:p>
            <w:pPr>
              <w:pStyle w:val="TableContents"/>
              <w:bidi w:val="0"/>
              <w:spacing w:before="0" w:after="283"/>
              <w:jc w:val="start"/>
              <w:rPr/>
            </w:pPr>
            <w:r>
              <w:rPr/>
              <w:t xml:space="preserve">The informations would non be valid and it would be an unjust trial </w:t>
            </w:r>
          </w:p>
        </w:tc>
        <w:tc>
          <w:tcPr>
            <w:tcW w:w="1539" w:type="dxa"/>
            <w:tcBorders/>
            <w:vAlign w:val="center"/>
          </w:tcPr>
          <w:p>
            <w:pPr>
              <w:pStyle w:val="TableContents"/>
              <w:bidi w:val="0"/>
              <w:spacing w:before="0" w:after="283"/>
              <w:jc w:val="start"/>
              <w:rPr/>
            </w:pPr>
            <w:r>
              <w:rPr/>
              <w:t xml:space="preserve">Make more tests with another type of bacteriums </w:t>
            </w:r>
          </w:p>
        </w:tc>
      </w:tr>
      <w:tr>
        <w:trPr/>
        <w:tc>
          <w:tcPr>
            <w:tcW w:w="1590" w:type="dxa"/>
            <w:tcBorders/>
            <w:vAlign w:val="center"/>
          </w:tcPr>
          <w:p>
            <w:pPr>
              <w:pStyle w:val="TableContents"/>
              <w:bidi w:val="0"/>
              <w:spacing w:before="0" w:after="283"/>
              <w:jc w:val="start"/>
              <w:rPr/>
            </w:pPr>
            <w:r>
              <w:rPr/>
              <w:t xml:space="preserve">The Al Kamal sanitizer had an unknown concentration of intoxicant </w:t>
            </w:r>
          </w:p>
        </w:tc>
        <w:tc>
          <w:tcPr>
            <w:tcW w:w="1541" w:type="dxa"/>
            <w:tcBorders/>
            <w:vAlign w:val="center"/>
          </w:tcPr>
          <w:p>
            <w:pPr>
              <w:pStyle w:val="TableContents"/>
              <w:bidi w:val="0"/>
              <w:spacing w:before="0" w:after="283"/>
              <w:jc w:val="start"/>
              <w:rPr/>
            </w:pPr>
            <w:r>
              <w:rPr/>
              <w:t xml:space="preserve">If the intoxicant concentration in the sanitizer is non as estimated it could skew the consequences and the tendency would non be as evident </w:t>
            </w:r>
          </w:p>
        </w:tc>
        <w:tc>
          <w:tcPr>
            <w:tcW w:w="1539" w:type="dxa"/>
            <w:tcBorders/>
            <w:vAlign w:val="center"/>
          </w:tcPr>
          <w:p>
            <w:pPr>
              <w:pStyle w:val="TableContents"/>
              <w:bidi w:val="0"/>
              <w:spacing w:before="0" w:after="283"/>
              <w:jc w:val="start"/>
              <w:rPr/>
            </w:pPr>
            <w:r>
              <w:rPr/>
              <w:t xml:space="preserve">Use a sanitizer that states its intoxicant concentration </w:t>
            </w:r>
          </w:p>
        </w:tc>
      </w:tr>
      <w:tr>
        <w:trPr/>
        <w:tc>
          <w:tcPr>
            <w:tcW w:w="1590" w:type="dxa"/>
            <w:tcBorders/>
            <w:vAlign w:val="center"/>
          </w:tcPr>
          <w:p>
            <w:pPr>
              <w:pStyle w:val="TableContents"/>
              <w:bidi w:val="0"/>
              <w:jc w:val="start"/>
              <w:rPr/>
            </w:pPr>
            <w:r>
              <w:rPr/>
              <w:t xml:space="preserve">Al Kamal and Lifebuoy had the same mean zone of suppression &amp; A ; Dettol and World of Wipes had the same. If the 2nd trial’s informations is switched between Al Kamal and Lifebuoy, the information is more consistent ( presently there is a large scope ) . </w:t>
            </w:r>
          </w:p>
          <w:p>
            <w:pPr>
              <w:pStyle w:val="TableContents"/>
              <w:bidi w:val="0"/>
              <w:spacing w:before="0" w:after="283"/>
              <w:jc w:val="start"/>
              <w:rPr/>
            </w:pPr>
            <w:r>
              <w:rPr/>
              <w:t xml:space="preserve">They could hold been labelled falsely. </w:t>
            </w:r>
          </w:p>
        </w:tc>
        <w:tc>
          <w:tcPr>
            <w:tcW w:w="1541" w:type="dxa"/>
            <w:tcBorders/>
            <w:vAlign w:val="center"/>
          </w:tcPr>
          <w:p>
            <w:pPr>
              <w:pStyle w:val="TableContents"/>
              <w:bidi w:val="0"/>
              <w:spacing w:before="0" w:after="283"/>
              <w:jc w:val="start"/>
              <w:rPr/>
            </w:pPr>
            <w:r>
              <w:rPr/>
              <w:t xml:space="preserve">The tendency and the 2nd graph would be invalid because the norms would even out ( like what happened ; the two norms are the same ) </w:t>
            </w:r>
          </w:p>
        </w:tc>
        <w:tc>
          <w:tcPr>
            <w:tcW w:w="1539" w:type="dxa"/>
            <w:tcBorders/>
            <w:vAlign w:val="center"/>
          </w:tcPr>
          <w:p>
            <w:pPr>
              <w:pStyle w:val="TableContents"/>
              <w:bidi w:val="0"/>
              <w:spacing w:before="0" w:after="283"/>
              <w:jc w:val="start"/>
              <w:rPr/>
            </w:pPr>
            <w:r>
              <w:rPr/>
              <w:t xml:space="preserve">Label each filter paper disc as they are placed in the agar </w:t>
            </w:r>
          </w:p>
        </w:tc>
      </w:tr>
    </w:tbl>
    <w:p>
      <w:pPr>
        <w:pStyle w:val="TextBody"/>
        <w:numPr>
          <w:ilvl w:val="0"/>
          <w:numId w:val="0"/>
        </w:numPr>
        <w:bidi w:val="0"/>
        <w:ind w:start="707" w:hanging="0"/>
        <w:jc w:val="start"/>
        <w:rPr/>
      </w:pPr>
      <w:r>
        <w:rPr/>
        <w:t xml:space="preserve">Dependability: The method is non really dependable. It is quotable and the consequences seem to be consistent except for what appears to be a switch up between the Al Kamal and Lifebuoy sanitizers. This is shown here: </w:t>
      </w:r>
    </w:p>
    <w:tbl>
      <w:tblPr>
        <w:tblW w:w="2494" w:type="dxa"/>
        <w:jc w:val="start"/>
        <w:tblInd w:w="707" w:type="dxa"/>
        <w:tblLayout w:type="fixed"/>
        <w:tblCellMar>
          <w:top w:w="28" w:type="dxa"/>
          <w:start w:w="28" w:type="dxa"/>
          <w:bottom w:w="28" w:type="dxa"/>
          <w:end w:w="28" w:type="dxa"/>
        </w:tblCellMar>
      </w:tblPr>
      <w:tblGrid>
        <w:gridCol w:w="1111"/>
        <w:gridCol w:w="526"/>
        <w:gridCol w:w="526"/>
        <w:gridCol w:w="331"/>
      </w:tblGrid>
      <w:tr>
        <w:trPr/>
        <w:tc>
          <w:tcPr>
            <w:tcW w:w="1111" w:type="dxa"/>
            <w:tcBorders/>
            <w:vAlign w:val="center"/>
          </w:tcPr>
          <w:p>
            <w:pPr>
              <w:pStyle w:val="TableContents"/>
              <w:bidi w:val="0"/>
              <w:spacing w:before="0" w:after="283"/>
              <w:jc w:val="start"/>
              <w:rPr/>
            </w:pPr>
            <w:r>
              <w:rPr/>
              <w:t xml:space="preserve">Al Kamal </w:t>
            </w:r>
          </w:p>
        </w:tc>
        <w:tc>
          <w:tcPr>
            <w:tcW w:w="526" w:type="dxa"/>
            <w:tcBorders/>
            <w:vAlign w:val="center"/>
          </w:tcPr>
          <w:p>
            <w:pPr>
              <w:pStyle w:val="TableContents"/>
              <w:bidi w:val="0"/>
              <w:jc w:val="start"/>
              <w:rPr/>
            </w:pPr>
            <w:r>
              <w:rPr/>
              <w:t xml:space="preserve">0. </w:t>
            </w:r>
          </w:p>
          <w:p>
            <w:pPr>
              <w:pStyle w:val="TableContents"/>
              <w:bidi w:val="0"/>
              <w:spacing w:before="0" w:after="283"/>
              <w:jc w:val="start"/>
              <w:rPr/>
            </w:pPr>
            <w:r>
              <w:rPr/>
              <w:t xml:space="preserve">0 </w:t>
            </w:r>
          </w:p>
        </w:tc>
        <w:tc>
          <w:tcPr>
            <w:tcW w:w="526" w:type="dxa"/>
            <w:tcBorders/>
            <w:vAlign w:val="center"/>
          </w:tcPr>
          <w:p>
            <w:pPr>
              <w:pStyle w:val="TableContents"/>
              <w:bidi w:val="0"/>
              <w:spacing w:before="0" w:after="283"/>
              <w:jc w:val="start"/>
              <w:rPr/>
            </w:pPr>
            <w:r>
              <w:rPr/>
              <w:t xml:space="preserve">6. 0 </w:t>
            </w:r>
          </w:p>
        </w:tc>
        <w:tc>
          <w:tcPr>
            <w:tcW w:w="331" w:type="dxa"/>
            <w:tcBorders/>
            <w:vAlign w:val="center"/>
          </w:tcPr>
          <w:p>
            <w:pPr>
              <w:pStyle w:val="TableContents"/>
              <w:bidi w:val="0"/>
              <w:spacing w:before="0" w:after="283"/>
              <w:jc w:val="start"/>
              <w:rPr/>
            </w:pPr>
            <w:r>
              <w:rPr/>
              <w:t xml:space="preserve">3 </w:t>
            </w:r>
          </w:p>
        </w:tc>
      </w:tr>
      <w:tr>
        <w:trPr/>
        <w:tc>
          <w:tcPr>
            <w:tcW w:w="1111" w:type="dxa"/>
            <w:tcBorders/>
            <w:vAlign w:val="center"/>
          </w:tcPr>
          <w:p>
            <w:pPr>
              <w:pStyle w:val="TableContents"/>
              <w:bidi w:val="0"/>
              <w:spacing w:before="0" w:after="283"/>
              <w:jc w:val="start"/>
              <w:rPr/>
            </w:pPr>
            <w:r>
              <w:rPr/>
              <w:t xml:space="preserve">Lifebuoy </w:t>
            </w:r>
          </w:p>
        </w:tc>
        <w:tc>
          <w:tcPr>
            <w:tcW w:w="526" w:type="dxa"/>
            <w:tcBorders/>
            <w:vAlign w:val="center"/>
          </w:tcPr>
          <w:p>
            <w:pPr>
              <w:pStyle w:val="TableContents"/>
              <w:bidi w:val="0"/>
              <w:spacing w:before="0" w:after="283"/>
              <w:jc w:val="start"/>
              <w:rPr/>
            </w:pPr>
            <w:r>
              <w:rPr/>
              <w:t xml:space="preserve">6. 0 </w:t>
            </w:r>
          </w:p>
        </w:tc>
        <w:tc>
          <w:tcPr>
            <w:tcW w:w="526" w:type="dxa"/>
            <w:tcBorders/>
            <w:vAlign w:val="center"/>
          </w:tcPr>
          <w:p>
            <w:pPr>
              <w:pStyle w:val="TableContents"/>
              <w:bidi w:val="0"/>
              <w:jc w:val="start"/>
              <w:rPr/>
            </w:pPr>
            <w:r>
              <w:rPr/>
              <w:t xml:space="preserve">0. </w:t>
            </w:r>
          </w:p>
          <w:p>
            <w:pPr>
              <w:pStyle w:val="TableContents"/>
              <w:bidi w:val="0"/>
              <w:spacing w:before="0" w:after="283"/>
              <w:jc w:val="start"/>
              <w:rPr/>
            </w:pPr>
            <w:r>
              <w:rPr/>
              <w:t xml:space="preserve">0 </w:t>
            </w:r>
          </w:p>
        </w:tc>
        <w:tc>
          <w:tcPr>
            <w:tcW w:w="331" w:type="dxa"/>
            <w:tcBorders/>
            <w:vAlign w:val="center"/>
          </w:tcPr>
          <w:p>
            <w:pPr>
              <w:pStyle w:val="TableContents"/>
              <w:bidi w:val="0"/>
              <w:spacing w:before="0" w:after="283"/>
              <w:jc w:val="start"/>
              <w:rPr/>
            </w:pPr>
            <w:r>
              <w:rPr/>
              <w:t xml:space="preserve">3 </w:t>
            </w:r>
          </w:p>
        </w:tc>
      </w:tr>
    </w:tbl>
    <w:p>
      <w:pPr>
        <w:pStyle w:val="TextBody"/>
        <w:numPr>
          <w:ilvl w:val="0"/>
          <w:numId w:val="0"/>
        </w:numPr>
        <w:bidi w:val="0"/>
        <w:ind w:start="707" w:hanging="0"/>
        <w:jc w:val="start"/>
        <w:rPr/>
      </w:pPr>
      <w:r>
        <w:rPr/>
        <w:t xml:space="preserve">The figure of tests is rather low, there were merely two tests for each gel. This means that the consequences are non highly dependable. The 7. 75 norm is besides a small spot undependable because our original consequences merely measure to 1 denary topographic point so the norm can non be any more precise. Cogency: The purpose of this probe was to happen out how different trade names of sanitizers affect bacterial growing and to superfluously happen out which manus gel would be best for mundane usage. As merely one type of bacterium was used, the consequences are non valid for the secondary purpose of the probe. The cogency is all right because the decision concurs with on-line beginnings such as the 1s mentioned in the bibliography. </w:t>
      </w:r>
    </w:p>
    <w:p>
      <w:pPr>
        <w:pStyle w:val="TextBody"/>
        <w:numPr>
          <w:ilvl w:val="0"/>
          <w:numId w:val="0"/>
        </w:numPr>
        <w:bidi w:val="0"/>
        <w:ind w:start="707" w:hanging="0"/>
        <w:jc w:val="start"/>
        <w:rPr/>
      </w:pPr>
      <w:r>
        <w:rPr/>
        <w:t xml:space="preserve">On the other manus, there were many things that went wrong that could do the consequences invalid ( such as mentioned in the tabular array above ) . </w:t>
      </w:r>
    </w:p>
    <w:p>
      <w:pPr>
        <w:pStyle w:val="Heading2"/>
        <w:numPr>
          <w:ilvl w:val="0"/>
          <w:numId w:val="0"/>
        </w:numPr>
        <w:bidi w:val="0"/>
        <w:ind w:start="1414" w:hanging="0"/>
        <w:jc w:val="start"/>
        <w:rPr/>
      </w:pPr>
      <w:r>
        <w:rPr/>
        <w:t xml:space="preserve">Bibliography </w:t>
      </w:r>
    </w:p>
    <w:p>
      <w:pPr>
        <w:pStyle w:val="TextBody"/>
        <w:numPr>
          <w:ilvl w:val="0"/>
          <w:numId w:val="0"/>
        </w:numPr>
        <w:bidi w:val="0"/>
        <w:ind w:start="707" w:hanging="0"/>
        <w:jc w:val="start"/>
        <w:rPr/>
      </w:pPr>
      <w:r>
        <w:rPr/>
        <w:t xml:space="preserve">Caldwell, A. Michelle. </w:t>
      </w:r>
      <w:r>
        <w:rPr>
          <w:rStyle w:val="Emphasis"/>
        </w:rPr>
        <w:t xml:space="preserve">How Does Alcohol Kill Bacteria? </w:t>
      </w:r>
      <w:r>
        <w:rPr/>
        <w:t xml:space="preserve">2013. </w:t>
      </w:r>
    </w:p>
    <w:p>
      <w:pPr>
        <w:pStyle w:val="TextBody"/>
        <w:numPr>
          <w:ilvl w:val="0"/>
          <w:numId w:val="0"/>
        </w:numPr>
        <w:bidi w:val="0"/>
        <w:ind w:start="707" w:hanging="0"/>
        <w:jc w:val="start"/>
        <w:rPr/>
      </w:pPr>
      <w:r>
        <w:rPr/>
        <w:t xml:space="preserve">21 December 2013. McGraw Hill. </w:t>
      </w:r>
      <w:r>
        <w:rPr>
          <w:rStyle w:val="Emphasis"/>
        </w:rPr>
        <w:t xml:space="preserve">Protein Denaturation </w:t>
      </w:r>
      <w:r>
        <w:rPr/>
        <w:t xml:space="preserve">. n. </w:t>
      </w:r>
    </w:p>
    <w:p>
      <w:pPr>
        <w:pStyle w:val="TextBody"/>
        <w:numPr>
          <w:ilvl w:val="0"/>
          <w:numId w:val="0"/>
        </w:numPr>
        <w:bidi w:val="0"/>
        <w:ind w:start="707" w:hanging="0"/>
        <w:jc w:val="start"/>
        <w:rPr/>
      </w:pPr>
      <w:r>
        <w:rPr/>
        <w:t xml:space="preserve">d. 21 December 2013. Sherwood, Chris. </w:t>
      </w:r>
      <w:r>
        <w:rPr>
          <w:rStyle w:val="Emphasis"/>
        </w:rPr>
        <w:t xml:space="preserve">How Does Hand Sanitizer kill Bacteria? </w:t>
      </w:r>
      <w:r>
        <w:rPr/>
        <w:t xml:space="preserve">16 August 2013. 15 December 2013. &amp; lt ; hypertext transfer protocol: //www. </w:t>
      </w:r>
    </w:p>
    <w:p>
      <w:pPr>
        <w:pStyle w:val="TextBody"/>
        <w:numPr>
          <w:ilvl w:val="0"/>
          <w:numId w:val="0"/>
        </w:numPr>
        <w:bidi w:val="0"/>
        <w:ind w:start="707" w:hanging="0"/>
        <w:jc w:val="start"/>
        <w:rPr/>
      </w:pPr>
      <w:r>
        <w:rPr/>
        <w:t xml:space="preserve">livestrong. com/article/88193-hand-sanitizer-kill-bacteria/ &amp; gt ; . Smith, Ann. </w:t>
      </w:r>
      <w:r>
        <w:rPr>
          <w:rStyle w:val="Emphasis"/>
        </w:rPr>
        <w:t xml:space="preserve">FDA Recognizes Alcohol-Based Hand Sanitizers as Safe and Effective for Consumer Use </w:t>
      </w:r>
      <w:r>
        <w:rPr/>
        <w:t xml:space="preserve">. n. d. 2013 December 2013. </w:t>
      </w:r>
    </w:p>
    <w:p>
      <w:pPr>
        <w:pStyle w:val="TextBody"/>
        <w:numPr>
          <w:ilvl w:val="0"/>
          <w:numId w:val="0"/>
        </w:numPr>
        <w:bidi w:val="0"/>
        <w:spacing w:before="0" w:after="283"/>
        <w:ind w:start="707" w:hanging="0"/>
        <w:jc w:val="start"/>
        <w:rPr/>
      </w:pPr>
      <w:r>
        <w:rPr/>
        <w:t xml:space="preserve">UCSB. </w:t>
      </w:r>
      <w:r>
        <w:rPr>
          <w:rStyle w:val="Emphasis"/>
        </w:rPr>
        <w:t xml:space="preserve">How does ethyl intoxicant putting to death bacteriums? </w:t>
      </w:r>
      <w:r>
        <w:rPr/>
        <w:t xml:space="preserve">n. d. 21 December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https://assignbuster.com/an-investigation-into-a-factor-affecting-the-rate-of-bacterial-growth-essay/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investigation into a factor affecting...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investigation into a factor affecting the rate of bacterial growth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into a factor affecting the rate of bacterial growth essay</dc:title>
  <dc:subject>Design;</dc:subject>
  <dc:creator>AssignBuster</dc:creator>
  <cp:keywords/>
  <dc:description>Variables: Mugwump: Trade names of Hand Sanitizer Dependant: The size of the Zone of Inhibition mm 2 Control: Graph 1: Average Zone of Inhibition Dec...</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