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Cellulitis in older patients – a prospective cohort study</w:t>
        </w:r>
      </w:hyperlink>
      <w:bookmarkEnd w:id="0"/>
    </w:p>
    <w:p>
      <w:r>
        <w:br w:type="page"/>
      </w:r>
    </w:p>
    <w:p>
      <w:pPr>
        <w:pStyle w:val="TextBody"/>
        <w:bidi w:val="0"/>
        <w:jc w:val="start"/>
        <w:rPr/>
      </w:pPr>
      <w:r>
        <w:rPr/>
        <w:t xml:space="preserve">CELLULITIS IN OLDER PATIENTS – A PROSPECTIVE COHORT STUDY </w:t>
      </w:r>
    </w:p>
    <w:p>
      <w:pPr>
        <w:pStyle w:val="TextBody"/>
        <w:bidi w:val="0"/>
        <w:spacing w:before="0" w:after="283"/>
        <w:jc w:val="start"/>
        <w:rPr/>
      </w:pPr>
      <w:r>
        <w:rPr/>
        <w:t xml:space="preserve">Older patient with cellulitis </w:t>
      </w:r>
    </w:p>
    <w:p>
      <w:pPr>
        <w:pStyle w:val="TextBody"/>
        <w:bidi w:val="0"/>
        <w:spacing w:before="0" w:after="283"/>
        <w:jc w:val="start"/>
        <w:rPr/>
      </w:pPr>
      <w:r>
        <w:rPr/>
        <w:t xml:space="preserve">Abstract </w:t>
      </w:r>
    </w:p>
    <w:p>
      <w:pPr>
        <w:pStyle w:val="TextBody"/>
        <w:bidi w:val="0"/>
        <w:spacing w:before="0" w:after="283"/>
        <w:jc w:val="start"/>
        <w:rPr/>
      </w:pPr>
      <w:r>
        <w:rPr/>
        <w:t xml:space="preserve">Aim: To examine differences in risk factors, clinical features and outcomes of cellulitis between those 75+ years and those &lt; 75 years admitted to a metropolitan hospital. </w:t>
      </w:r>
    </w:p>
    <w:p>
      <w:pPr>
        <w:pStyle w:val="TextBody"/>
        <w:bidi w:val="0"/>
        <w:spacing w:before="0" w:after="283"/>
        <w:jc w:val="start"/>
        <w:rPr/>
      </w:pPr>
      <w:r>
        <w:rPr/>
        <w:t xml:space="preserve">Methods: A prospective study of patients with limb cellulitis requiring intravenous antibiotics conducted at Bankstown-Lidcombe Hospital, Australia from June 2014 to April 2015. </w:t>
      </w:r>
    </w:p>
    <w:p>
      <w:pPr>
        <w:pStyle w:val="TextBody"/>
        <w:bidi w:val="0"/>
        <w:spacing w:before="0" w:after="283"/>
        <w:jc w:val="start"/>
        <w:rPr/>
      </w:pPr>
      <w:r>
        <w:rPr/>
        <w:t xml:space="preserve">Results: Thirty one patients were 75+ years and 69 less than 75 years. A greater proportion of older patients resided in nursing home (25. 8% vs 2. 9% respectively, P= 0. 001) and mobilised with walking aid(s) (58. 1% vs 11. 6% respectively, P &lt;0. 001). Significantly more older patients had documented hypertension (45. 2% vs 23. 2% respectively P= 0. 035), atrial fibrillation (33. 5% vs 5. 8% respectively, P &lt;0. 001), dementia (22. 6% vs 1. 4% respectively, P= 0. 001) and malignancy (16. 1% vs 1. 4% respectively, P= 0. 010). The clinical presentation of cellulitis and cellulitis severity (Eron classification) did not significantly differ in both groups; however older patients were more likely to have dependent oedema (OR 4. 0, CI 1. 3-12. 6, p= 0. 018) and less likely to be obese (OR 0. 3, CI 0. 1-0. 8, p= 0. 012) or had a past history of cellulitis (OR 0. 3, CI 0. 1-1. 0, P= 0. 044) on presentation. Despite the age difference, there were no major differences in intravenous antibiotic choice, hospital length of stay, and hospital readmission rates in both groups. Older patients however, were more likely to experience complications such as falls and/ or decreased mobility (38. 7% vs 15. 9% respectively, P = 0. 020) during the cellulitis episode. </w:t>
      </w:r>
    </w:p>
    <w:p>
      <w:pPr>
        <w:pStyle w:val="TextBody"/>
        <w:bidi w:val="0"/>
        <w:spacing w:before="0" w:after="283"/>
        <w:jc w:val="start"/>
        <w:rPr/>
      </w:pPr>
      <w:r>
        <w:rPr/>
        <w:t xml:space="preserve">Conclusion: Older patients with cellulitis performed just as well as younger patients despite having more medical comorbidities and worse physical function. </w:t>
      </w:r>
    </w:p>
    <w:p>
      <w:pPr>
        <w:pStyle w:val="TextBody"/>
        <w:bidi w:val="0"/>
        <w:spacing w:before="0" w:after="283"/>
        <w:jc w:val="start"/>
        <w:rPr/>
      </w:pPr>
      <w:r>
        <w:rPr/>
        <w:t xml:space="preserve">Keywords: Cellulitis, hospitalisation, older patients, prospective study, </w:t>
      </w:r>
    </w:p>
    <w:p>
      <w:pPr>
        <w:pStyle w:val="TextBody"/>
        <w:bidi w:val="0"/>
        <w:spacing w:before="0" w:after="283"/>
        <w:jc w:val="start"/>
        <w:rPr/>
      </w:pPr>
      <w:r>
        <w:rPr/>
        <w:t xml:space="preserve">Introduction </w:t>
      </w:r>
    </w:p>
    <w:p>
      <w:pPr>
        <w:pStyle w:val="TextBody"/>
        <w:bidi w:val="0"/>
        <w:spacing w:before="0" w:after="283"/>
        <w:jc w:val="start"/>
        <w:rPr/>
      </w:pPr>
      <w:r>
        <w:rPr/>
        <w:t xml:space="preserve">Cellulitis is a bacterial infection of the skin involving the dermis and subcutaneous fat. In Australia, cellulitis accounts for over 250, 000 hospital bed days, or 10. 5% of total bed days. </w:t>
      </w:r>
      <w:r>
        <w:rPr>
          <w:position w:val="8"/>
          <w:sz w:val="19"/>
        </w:rPr>
        <w:t xml:space="preserve">1 </w:t>
      </w:r>
      <w:r>
        <w:rPr/>
        <w:t xml:space="preserve">While most episodes of cellulitis can be managed as an outpatient, a significant proportion, particularly older people, require hospitalisation. Over a 12-month period from 2014-2015, the cellulitis hospitalisation rate was 1100 per 100, 000 in the 80 plus age group as opposed to 237 episodes per 100, 000 in the general population. </w:t>
      </w:r>
      <w:r>
        <w:rPr>
          <w:position w:val="8"/>
          <w:sz w:val="19"/>
        </w:rPr>
        <w:t xml:space="preserve">1 </w:t>
      </w:r>
    </w:p>
    <w:p>
      <w:pPr>
        <w:pStyle w:val="TextBody"/>
        <w:bidi w:val="0"/>
        <w:spacing w:before="0" w:after="283"/>
        <w:jc w:val="start"/>
        <w:rPr/>
      </w:pPr>
      <w:r>
        <w:rPr/>
        <w:t xml:space="preserve">Cellulitis typically presents with pain, erythema, warmth and oedema. Systemic symptoms including fever and tachycardia may be presentalthough thought to be less frequent in older persons. </w:t>
      </w:r>
      <w:r>
        <w:rPr>
          <w:position w:val="8"/>
          <w:sz w:val="19"/>
        </w:rPr>
        <w:t xml:space="preserve">2-6 </w:t>
      </w:r>
      <w:r>
        <w:rPr/>
        <w:t xml:space="preserve">Known risk factors for cellulitis are venous oedema, lymphoedema, skin conditions, traumatic injury, leg ulcers, peripheral vascular disease, fungal infections, past history of cellulitis and obesity. </w:t>
      </w:r>
      <w:r>
        <w:rPr>
          <w:position w:val="8"/>
          <w:sz w:val="19"/>
        </w:rPr>
        <w:t xml:space="preserve">7-10 </w:t>
      </w:r>
    </w:p>
    <w:p>
      <w:pPr>
        <w:pStyle w:val="TextBody"/>
        <w:bidi w:val="0"/>
        <w:spacing w:before="0" w:after="283"/>
        <w:jc w:val="start"/>
        <w:rPr/>
      </w:pPr>
      <w:r>
        <w:rPr/>
        <w:t xml:space="preserve">Age alone does not alter treatment principles for bacterial cellulitis (including use of antibiotics); however age-related pharmacokinetics and pharmacodynamics, cognitive status and social circumstances </w:t>
      </w:r>
      <w:r>
        <w:rPr>
          <w:position w:val="8"/>
          <w:sz w:val="19"/>
        </w:rPr>
        <w:t xml:space="preserve">11 </w:t>
      </w:r>
      <w:r>
        <w:rPr/>
        <w:t xml:space="preserve">may impact on treatment decisions particularly need for hospitalisation. </w:t>
      </w:r>
    </w:p>
    <w:p>
      <w:pPr>
        <w:pStyle w:val="TextBody"/>
        <w:bidi w:val="0"/>
        <w:spacing w:before="0" w:after="283"/>
        <w:jc w:val="start"/>
        <w:rPr/>
      </w:pPr>
      <w:r>
        <w:rPr/>
        <w:t xml:space="preserve">Once hospitalised, age is an independent risk factor for increased length of stay for cellulitis with other factors being long duration of symptoms, tachycardia, hypotension, leukocytosis, hypoalbuminaemia, elevated serum creatinine, bacteraemia, obesity and diabetes mellitus. </w:t>
      </w:r>
      <w:r>
        <w:rPr>
          <w:position w:val="8"/>
          <w:sz w:val="19"/>
        </w:rPr>
        <w:t xml:space="preserve">12-15 </w:t>
      </w:r>
    </w:p>
    <w:p>
      <w:pPr>
        <w:pStyle w:val="TextBody"/>
        <w:bidi w:val="0"/>
        <w:spacing w:before="0" w:after="283"/>
        <w:jc w:val="start"/>
        <w:rPr/>
      </w:pPr>
      <w:r>
        <w:rPr/>
        <w:t xml:space="preserve">Age is significantly associated with increased mortality from cellulitis although it is unclear if this is due to illness severity or underlying comorbidity. </w:t>
      </w:r>
      <w:r>
        <w:rPr>
          <w:position w:val="8"/>
          <w:sz w:val="19"/>
        </w:rPr>
        <w:t xml:space="preserve">16 </w:t>
      </w:r>
      <w:r>
        <w:rPr/>
        <w:t xml:space="preserve">Other factors associated with mortality are delayed administration of antibiotics, presence of multiple comorbidities, previous myocardial infarction, congestive heart failure, liver disease, hypoalbuminemia, renal insufficiency, morbid obesity, lower limb oedema, </w:t>
      </w:r>
      <w:r>
        <w:rPr>
          <w:rStyle w:val="Emphasis"/>
        </w:rPr>
        <w:t xml:space="preserve">Pseudomonas aeruginosa </w:t>
      </w:r>
      <w:r>
        <w:rPr/>
        <w:t xml:space="preserve">infection, bacteraemia and septic shock. </w:t>
      </w:r>
      <w:r>
        <w:rPr>
          <w:position w:val="8"/>
          <w:sz w:val="19"/>
        </w:rPr>
        <w:t xml:space="preserve">14, 17 </w:t>
      </w:r>
    </w:p>
    <w:p>
      <w:pPr>
        <w:pStyle w:val="TextBody"/>
        <w:bidi w:val="0"/>
        <w:spacing w:before="0" w:after="283"/>
        <w:jc w:val="start"/>
        <w:rPr/>
      </w:pPr>
      <w:r>
        <w:rPr/>
        <w:t xml:space="preserve">Hospital readmission for cellulitis is also more common in older people </w:t>
      </w:r>
      <w:r>
        <w:rPr>
          <w:position w:val="8"/>
          <w:sz w:val="19"/>
        </w:rPr>
        <w:t xml:space="preserve">18 </w:t>
      </w:r>
      <w:r>
        <w:rPr/>
        <w:t xml:space="preserve">particularly if there has been more than one prior episode of cellulitis </w:t>
      </w:r>
      <w:r>
        <w:rPr>
          <w:position w:val="8"/>
          <w:sz w:val="19"/>
        </w:rPr>
        <w:t xml:space="preserve">19. </w:t>
      </w:r>
    </w:p>
    <w:p>
      <w:pPr>
        <w:pStyle w:val="TextBody"/>
        <w:bidi w:val="0"/>
        <w:spacing w:before="0" w:after="283"/>
        <w:jc w:val="start"/>
        <w:rPr/>
      </w:pPr>
      <w:r>
        <w:rPr/>
        <w:t xml:space="preserve">Aims </w:t>
      </w:r>
    </w:p>
    <w:p>
      <w:pPr>
        <w:pStyle w:val="TextBody"/>
        <w:bidi w:val="0"/>
        <w:spacing w:before="0" w:after="283"/>
        <w:jc w:val="start"/>
        <w:rPr/>
      </w:pPr>
      <w:r>
        <w:rPr/>
        <w:t xml:space="preserve">In this prospective study, weaimed to examine differences in risk factors, clinical features, management, and outcomes of cellulitis between those 75 years or more and those less than 75 years admitted to a large metropolitan hospital. </w:t>
      </w:r>
    </w:p>
    <w:p>
      <w:pPr>
        <w:pStyle w:val="TextBody"/>
        <w:bidi w:val="0"/>
        <w:spacing w:before="0" w:after="283"/>
        <w:jc w:val="start"/>
        <w:rPr/>
      </w:pPr>
      <w:r>
        <w:rPr/>
        <w:t xml:space="preserve">Methods </w:t>
      </w:r>
    </w:p>
    <w:p>
      <w:pPr>
        <w:pStyle w:val="TextBody"/>
        <w:bidi w:val="0"/>
        <w:spacing w:before="0" w:after="283"/>
        <w:jc w:val="start"/>
        <w:rPr/>
      </w:pPr>
      <w:r>
        <w:rPr/>
        <w:t xml:space="preserve">The study was conducted at Bankstown-Lidcombe Hospital, New South Wales, Australia from June 2014 to April 2015. The study was approved by the South-Western Sydney Local Health District (SWSLHD) Ethics Committee. </w:t>
      </w:r>
    </w:p>
    <w:p>
      <w:pPr>
        <w:pStyle w:val="TextBody"/>
        <w:bidi w:val="0"/>
        <w:spacing w:before="0" w:after="283"/>
        <w:jc w:val="start"/>
        <w:rPr/>
      </w:pPr>
      <w:r>
        <w:rPr/>
        <w:t xml:space="preserve">Between June 2014 and April 2015, potential patients were identified through review of the Bansktown Hospital inpatient list three times a week by a study investigator. We included all identified patients aged 18 years or more with a diagnosis of cellulitis of the upper and/ or lower limb(s) and excluded patients with infected ulcers on presentation, pregnant patients and those with post-operative wound infections. </w:t>
      </w:r>
    </w:p>
    <w:p>
      <w:pPr>
        <w:pStyle w:val="TextBody"/>
        <w:bidi w:val="0"/>
        <w:spacing w:before="0" w:after="283"/>
        <w:jc w:val="start"/>
        <w:rPr/>
      </w:pPr>
      <w:r>
        <w:rPr/>
        <w:t xml:space="preserve">The patients were then stratified into an older group (aged 75 years or more) and a younger group (74 years or less) and were followed up during their admission and for a total of 28 days post completion of intravenous antibiotics. </w:t>
      </w:r>
    </w:p>
    <w:p>
      <w:pPr>
        <w:pStyle w:val="TextBody"/>
        <w:bidi w:val="0"/>
        <w:spacing w:before="0" w:after="283"/>
        <w:jc w:val="start"/>
        <w:rPr/>
      </w:pPr>
      <w:r>
        <w:rPr/>
        <w:t xml:space="preserve">Data collected included basic demographics, clinical characteristics, relevant investigations, treatment provided and clinical outcomes. The severity of cellulitis was rated using the Eron classification. </w:t>
      </w:r>
      <w:r>
        <w:rPr>
          <w:position w:val="8"/>
          <w:sz w:val="19"/>
        </w:rPr>
        <w:t xml:space="preserve">20 </w:t>
      </w:r>
    </w:p>
    <w:p>
      <w:pPr>
        <w:pStyle w:val="TextBody"/>
        <w:bidi w:val="0"/>
        <w:spacing w:before="0" w:after="283"/>
        <w:jc w:val="start"/>
        <w:rPr/>
      </w:pPr>
      <w:r>
        <w:rPr/>
        <w:t xml:space="preserve">Data were analysed with SPSS Version 24 and R version 3. 3. 1. Chi-square test was used to compare proportions. Student’s T-test was used to compare differences in means for normally distributed variables. For non-normally distributed continuous variables, non-parametric test was used to assess differences in the ranked median scores. Logistic regression was used to assess statistically significant risk factors for cellulitis in the older and younger age groups. Statistically significant results were set at an alpha level of 0. 05. </w:t>
      </w:r>
    </w:p>
    <w:p>
      <w:pPr>
        <w:pStyle w:val="TextBody"/>
        <w:bidi w:val="0"/>
        <w:spacing w:before="0" w:after="283"/>
        <w:jc w:val="start"/>
        <w:rPr/>
      </w:pPr>
      <w:r>
        <w:rPr/>
        <w:t xml:space="preserve">Results </w:t>
      </w:r>
    </w:p>
    <w:p>
      <w:pPr>
        <w:pStyle w:val="TextBody"/>
        <w:bidi w:val="0"/>
        <w:spacing w:before="0" w:after="283"/>
        <w:jc w:val="start"/>
        <w:rPr/>
      </w:pPr>
      <w:r>
        <w:rPr/>
        <w:t xml:space="preserve">One hundred and thirteen patients were identified during the study period and 100 patients (88. 5%) consented to participate. Thirty-one (31. 0%) patients were aged 75 years and older and 69 (69. 0%) patients were 74 years or less. </w:t>
      </w:r>
    </w:p>
    <w:p>
      <w:pPr>
        <w:pStyle w:val="TextBody"/>
        <w:bidi w:val="0"/>
        <w:spacing w:before="0" w:after="283"/>
        <w:jc w:val="start"/>
        <w:rPr/>
      </w:pPr>
      <w:r>
        <w:rPr/>
        <w:t xml:space="preserve">The mean age was 84. 4±5. 8 years in the older group and 53. 4±14. 2 years in the younger group. The older patients had lower BMI than their younger counterparts [28. 3 (±8. 0) vs 36. 0 (±12. 3) respectively, P &lt;0. 001]. A higher proportion resided in residential aged care facilities (25. 8% vs 2. 9% respectively, P= 0. 001); and mobilised with walking aid(s) (58. 1% vs 11. 6% respectively, P &lt;0. 001). (Table 1) </w:t>
      </w:r>
    </w:p>
    <w:p>
      <w:pPr>
        <w:pStyle w:val="TextBody"/>
        <w:bidi w:val="0"/>
        <w:spacing w:before="0" w:after="283"/>
        <w:jc w:val="start"/>
        <w:rPr/>
      </w:pPr>
      <w:r>
        <w:rPr/>
        <w:t xml:space="preserve">A significantly higher proportion of older patients had documented hypertension (45. 2% vs 23. 2% respectively P= 0. 035), atrial fibrillation (33. 5% vs 5. 8% respectively, P &lt;0. 001), dementia (22. 6% vs 1. 4% respectively, P= 0. 001) and malignancy (16. 1% vs 1. 4% respectively, P= 0. 010). (Table 1) </w:t>
      </w:r>
    </w:p>
    <w:p>
      <w:pPr>
        <w:pStyle w:val="TextBody"/>
        <w:bidi w:val="0"/>
        <w:spacing w:before="0" w:after="283"/>
        <w:jc w:val="start"/>
        <w:rPr/>
      </w:pPr>
      <w:r>
        <w:rPr/>
        <w:t xml:space="preserve">In terms of cellulitis risk factors, after controlling for potential confounders, older patients were more likely to have dependent odema (OR 4. 0 CI 1. 3-12. 6, p= 0. 018); but less likely to be obese (OR 0. 3, CI 0. 1-1. 0, P= 0. 012) or had a prior history of cellulitis (OR 0. 3, CI 0. 1-1. 0, P= 0. 044) than younger patients. The risk of peripheral vascular disease, tinea pedis and cutaneous dermatitis were similar in both groups. </w:t>
      </w:r>
    </w:p>
    <w:p>
      <w:pPr>
        <w:pStyle w:val="TextBody"/>
        <w:bidi w:val="0"/>
        <w:spacing w:before="0" w:after="283"/>
        <w:jc w:val="start"/>
        <w:rPr/>
      </w:pPr>
      <w:r>
        <w:rPr/>
        <w:t xml:space="preserve">Cellulitis presenting features such as pain, fever, chills and vital signs (temperature, heart rate and blood pressure) did not significantly differ between the two groups. The severity of cellulitis, as defined by the Eron classification also did not differ between groups with the majority of patients having Eron Classes I and II. (Table 1) </w:t>
      </w:r>
    </w:p>
    <w:p>
      <w:pPr>
        <w:pStyle w:val="TextBody"/>
        <w:bidi w:val="0"/>
        <w:spacing w:before="0" w:after="283"/>
        <w:jc w:val="start"/>
        <w:rPr/>
      </w:pPr>
      <w:r>
        <w:rPr/>
        <w:t xml:space="preserve">Initial laboratory results revealed that older patients had lower hemoglobin [122. 1 (±16. 4) vs 135. 0 (±19. 4), P= 0. 002] and albumin [38. 0 (±47) vs 41. 4 (±4. 1), P &lt;0. 001] and higher urea level [7. 9 (5. 8-12. 4) vs 5. 8 (4. 8-8. 4), P= 0. 011] compared to their younger counterparts. CRP white cell count (WCC) and positive rate of blood culture did not differ between the two groups. (Table 2) </w:t>
      </w:r>
    </w:p>
    <w:p>
      <w:pPr>
        <w:pStyle w:val="TextBody"/>
        <w:bidi w:val="0"/>
        <w:spacing w:before="0" w:after="283"/>
        <w:jc w:val="start"/>
        <w:rPr/>
      </w:pPr>
      <w:r>
        <w:rPr/>
        <w:t xml:space="preserve">Older inpatients presenting with cellulitis were less likely to be referred to hospital in the home (HITH) antibiotic programs for completion of the course of intravenous antibiotics 32. 3% vs 59. 4% respectively, P= 0. 012) compared to younger patients. The antibiotic choices did not differ between the two populations, these included cephazolin, flucloxacillin or tazobactam-piperacillin. </w:t>
      </w:r>
    </w:p>
    <w:p>
      <w:pPr>
        <w:pStyle w:val="TextBody"/>
        <w:bidi w:val="0"/>
        <w:spacing w:before="0" w:after="283"/>
        <w:jc w:val="start"/>
        <w:rPr/>
      </w:pPr>
      <w:r>
        <w:rPr/>
        <w:t xml:space="preserve">Older patients with cellulitis were more likely to experience falls or decreased mobility (38. 7% vs 15. 9% respectively, P = 0. 020) compared to the younger group. (Table 2). Despite this, they had similar LOS to their younger counterparts [10 (7-15) vs 8 (6-13) respectively, P= 0. 403]. There was one death in each group and the rates of ICU admission, surgical intervention and 28-day readmission were similar in the two groups. </w:t>
      </w:r>
    </w:p>
    <w:p>
      <w:pPr>
        <w:pStyle w:val="TextBody"/>
        <w:bidi w:val="0"/>
        <w:spacing w:before="0" w:after="283"/>
        <w:jc w:val="start"/>
        <w:rPr/>
      </w:pPr>
      <w:r>
        <w:rPr/>
        <w:t xml:space="preserve">Discussion </w:t>
      </w:r>
    </w:p>
    <w:p>
      <w:pPr>
        <w:pStyle w:val="TextBody"/>
        <w:bidi w:val="0"/>
        <w:spacing w:before="0" w:after="283"/>
        <w:jc w:val="start"/>
        <w:rPr/>
      </w:pPr>
      <w:r>
        <w:rPr/>
        <w:t xml:space="preserve">In this study, we found that older people, despite being frailer than their younger counterparts, had similar treatment outcomes after presenting to hospital with mild to moderate limb cellulitis. </w:t>
      </w:r>
    </w:p>
    <w:p>
      <w:pPr>
        <w:pStyle w:val="TextBody"/>
        <w:bidi w:val="0"/>
        <w:spacing w:before="0" w:after="283"/>
        <w:jc w:val="start"/>
        <w:rPr/>
      </w:pPr>
      <w:r>
        <w:rPr/>
        <w:t xml:space="preserve">In our study, most of the potential risk factors for cellulitis were similar in the older and younger age groups; however, older patients were more likely to have dependent oedema and impaired mobility, and less likely to be obese. Other conditions noted to be more common in the older group were congestive cardiac failure, atrial fibrillation, dementia and malignancy. We believe this finding reflected the higher prevalence of these conditions in the older population rather than an association with cellulitis. </w:t>
      </w:r>
    </w:p>
    <w:p>
      <w:pPr>
        <w:pStyle w:val="TextBody"/>
        <w:bidi w:val="0"/>
        <w:spacing w:before="0" w:after="283"/>
        <w:jc w:val="start"/>
        <w:rPr/>
      </w:pPr>
      <w:r>
        <w:rPr/>
        <w:t xml:space="preserve">Over 25% of older patients with cellulitis lived in residential aged care facilities. This finding raised the opportunity for the provision of ambulatory care antibiotic programs in aged care homes potentially avoiding the need for hospitalisation for residents with cellulitis. </w:t>
      </w:r>
    </w:p>
    <w:p>
      <w:pPr>
        <w:pStyle w:val="TextBody"/>
        <w:bidi w:val="0"/>
        <w:spacing w:before="0" w:after="283"/>
        <w:jc w:val="start"/>
        <w:rPr/>
      </w:pPr>
      <w:r>
        <w:rPr/>
        <w:t xml:space="preserve">There were no significant differences in the clinical presentation of cellulitis between the two age groups (i. e., duration of cellulitis symptoms, heart rate, blood pressure, temperature, white cell count, CRP and Eron severity classification). Atypical and blunted physiological response to infection with age has been documented in the literature. In severe sepsis, a reduced physiological response can lead to rapid progression of sepsis . </w:t>
      </w:r>
      <w:r>
        <w:rPr>
          <w:position w:val="8"/>
          <w:sz w:val="19"/>
        </w:rPr>
        <w:t xml:space="preserve">2, 3, 21 </w:t>
      </w:r>
      <w:r>
        <w:rPr/>
        <w:t xml:space="preserve">Our results did not support a blunted response to infection in older patients with cellulitis; we, however, did not have any patients with severe sepsis to examine the inflammatory response in more detail. </w:t>
      </w:r>
    </w:p>
    <w:p>
      <w:pPr>
        <w:pStyle w:val="TextBody"/>
        <w:bidi w:val="0"/>
        <w:spacing w:before="0" w:after="283"/>
        <w:jc w:val="start"/>
        <w:rPr/>
      </w:pPr>
      <w:r>
        <w:rPr/>
        <w:t xml:space="preserve">In our study, older patients experienced more falls and impaired mobility during the admission for cellulitis compared to younger patients. While these factors might have made their hospital discharge planning more complex, they did not translate into an increased hospital length of stay. Previously described risk factors affecting LOS in cellulitis </w:t>
      </w:r>
      <w:r>
        <w:rPr>
          <w:rStyle w:val="Emphasis"/>
        </w:rPr>
        <w:t xml:space="preserve">(comprising of age, hypoalbuminaemia, bacteraemia, obesity, diabetes mellitus, tachycardia, hypotension, leukocytosis, and elevated serum creatinine) </w:t>
      </w:r>
      <w:r>
        <w:rPr/>
        <w:t xml:space="preserve">, </w:t>
      </w:r>
      <w:r>
        <w:rPr>
          <w:position w:val="8"/>
          <w:sz w:val="19"/>
        </w:rPr>
        <w:t xml:space="preserve">7, 12, 13, 14, 15 </w:t>
      </w:r>
      <w:r>
        <w:rPr/>
        <w:t xml:space="preserve">tended to be skewed towards age and hypoalbuminaemia for the older group and obesity for the younger group in our study. </w:t>
      </w:r>
    </w:p>
    <w:p>
      <w:pPr>
        <w:pStyle w:val="TextBody"/>
        <w:bidi w:val="0"/>
        <w:spacing w:before="0" w:after="283"/>
        <w:jc w:val="start"/>
        <w:rPr/>
      </w:pPr>
      <w:r>
        <w:rPr/>
        <w:t xml:space="preserve">There were no statistically significant differences between the two groups in terms of mortality, ICU admission, and surgical intervention for cellulitis complications. The majority of patients in both groups had Eron Class I or II cellulitis and did not sustain physiological decompensations; however, in more severe cases of cellulitis, one would expect ageing physiology to sustain more physiological decompensations which may then influence the above parameters. </w:t>
      </w:r>
    </w:p>
    <w:p>
      <w:pPr>
        <w:pStyle w:val="TextBody"/>
        <w:bidi w:val="0"/>
        <w:spacing w:before="0" w:after="283"/>
        <w:jc w:val="start"/>
        <w:rPr/>
      </w:pPr>
      <w:r>
        <w:rPr/>
        <w:t xml:space="preserve">A lower proportion of older inpatients discharged to HITH programs might have been attributable to their medical comorbidities and functional criteria not meeting HITH requirements. As such, additional health resources may allow HITH programs to manage these complex patients but this would require further study. </w:t>
      </w:r>
    </w:p>
    <w:p>
      <w:pPr>
        <w:pStyle w:val="TextBody"/>
        <w:bidi w:val="0"/>
        <w:spacing w:before="0" w:after="283"/>
        <w:jc w:val="start"/>
        <w:rPr/>
      </w:pPr>
      <w:r>
        <w:rPr/>
        <w:t xml:space="preserve">Unlike previous published literature, </w:t>
      </w:r>
      <w:r>
        <w:rPr>
          <w:position w:val="8"/>
          <w:sz w:val="19"/>
        </w:rPr>
        <w:t xml:space="preserve">18 </w:t>
      </w:r>
      <w:r>
        <w:rPr/>
        <w:t xml:space="preserve">we did not find a significant difference in the 28-day readmission rate between the two age cohorts in our study. As the readmission rate was less than 5%, a study with greater number of patients would have more power to detect small differences in readmission rates. </w:t>
      </w:r>
    </w:p>
    <w:p>
      <w:pPr>
        <w:pStyle w:val="TextBody"/>
        <w:bidi w:val="0"/>
        <w:spacing w:before="0" w:after="283"/>
        <w:jc w:val="start"/>
        <w:rPr/>
      </w:pPr>
      <w:r>
        <w:rPr/>
        <w:t xml:space="preserve">One of the limitations of this study is the small sample size due to a short recruitment period; further study with a larger sample size would assist in validation of our findings. We decided to focus on inpatient cellulitis treatment; however a cellulitis management journey from hospital to community settings would have provided with a more complete picture. </w:t>
      </w:r>
    </w:p>
    <w:p>
      <w:pPr>
        <w:pStyle w:val="TextBody"/>
        <w:bidi w:val="0"/>
        <w:spacing w:before="0" w:after="283"/>
        <w:jc w:val="start"/>
        <w:rPr/>
      </w:pPr>
      <w:r>
        <w:rPr/>
        <w:t xml:space="preserve">As the number of older patients presenting with cellulitis increases as the population ages, it is important to note that for mild to moderate cellulitis, older patients perform just as well as younger patients with standard cellulitis treatments on clinical and care indicators. </w:t>
      </w:r>
    </w:p>
    <w:p>
      <w:pPr>
        <w:pStyle w:val="TextBody"/>
        <w:bidi w:val="0"/>
        <w:spacing w:before="0" w:after="283"/>
        <w:jc w:val="start"/>
        <w:rPr/>
      </w:pPr>
      <w:r>
        <w:rPr/>
        <w:t xml:space="preserve">No potential conflicts of interests were disclosed by all the authors. </w:t>
      </w:r>
    </w:p>
    <w:p>
      <w:pPr>
        <w:pStyle w:val="Heading2"/>
        <w:bidi w:val="0"/>
        <w:jc w:val="start"/>
        <w:rPr/>
      </w:pPr>
      <w:r>
        <w:rPr/>
        <w:t xml:space="preserve">References </w:t>
      </w:r>
    </w:p>
    <w:p>
      <w:pPr>
        <w:pStyle w:val="TextBody"/>
        <w:numPr>
          <w:ilvl w:val="0"/>
          <w:numId w:val="2"/>
        </w:numPr>
        <w:tabs>
          <w:tab w:val="clear" w:pos="1134"/>
          <w:tab w:val="left" w:pos="707" w:leader="none"/>
        </w:tabs>
        <w:bidi w:val="0"/>
        <w:ind w:start="707" w:hanging="283"/>
        <w:jc w:val="start"/>
        <w:rPr/>
      </w:pPr>
      <w:r>
        <w:rPr/>
        <w:t xml:space="preserve">National health performance authorityanalysis of admitted patients care national minimal data set 2013-2014 and Australian Bureau of statistics estimated resident population 30 June 2013 </w:t>
      </w:r>
    </w:p>
    <w:p>
      <w:pPr>
        <w:pStyle w:val="TextBody"/>
        <w:numPr>
          <w:ilvl w:val="0"/>
          <w:numId w:val="3"/>
        </w:numPr>
        <w:tabs>
          <w:tab w:val="clear" w:pos="1134"/>
          <w:tab w:val="left" w:pos="707" w:leader="none"/>
        </w:tabs>
        <w:bidi w:val="0"/>
        <w:ind w:start="707" w:hanging="283"/>
        <w:jc w:val="start"/>
        <w:rPr/>
      </w:pPr>
      <w:r>
        <w:rPr/>
        <w:t xml:space="preserve">Anderson DJ, Kaye KS. Skin and soft tissue infections in older adults. </w:t>
      </w:r>
      <w:r>
        <w:rPr>
          <w:rStyle w:val="Emphasis"/>
        </w:rPr>
        <w:t xml:space="preserve">Clin Geriatr Med </w:t>
      </w:r>
      <w:r>
        <w:rPr/>
        <w:t xml:space="preserve">. 2007; 23(3): 595–613. </w:t>
      </w:r>
    </w:p>
    <w:p>
      <w:pPr>
        <w:pStyle w:val="TextBody"/>
        <w:numPr>
          <w:ilvl w:val="0"/>
          <w:numId w:val="4"/>
        </w:numPr>
        <w:tabs>
          <w:tab w:val="clear" w:pos="1134"/>
          <w:tab w:val="left" w:pos="707" w:leader="none"/>
        </w:tabs>
        <w:bidi w:val="0"/>
        <w:ind w:start="707" w:hanging="283"/>
        <w:jc w:val="start"/>
        <w:rPr/>
      </w:pPr>
      <w:r>
        <w:rPr/>
        <w:t xml:space="preserve">Laube S. Skin infections and ageing. </w:t>
      </w:r>
      <w:r>
        <w:rPr>
          <w:rStyle w:val="Emphasis"/>
        </w:rPr>
        <w:t xml:space="preserve">Ageing Res Rev </w:t>
      </w:r>
      <w:r>
        <w:rPr/>
        <w:t xml:space="preserve">. 2004; 3(1): 69–89. </w:t>
      </w:r>
    </w:p>
    <w:p>
      <w:pPr>
        <w:pStyle w:val="TextBody"/>
        <w:numPr>
          <w:ilvl w:val="0"/>
          <w:numId w:val="5"/>
        </w:numPr>
        <w:tabs>
          <w:tab w:val="clear" w:pos="1134"/>
          <w:tab w:val="left" w:pos="707" w:leader="none"/>
        </w:tabs>
        <w:bidi w:val="0"/>
        <w:ind w:start="707" w:hanging="283"/>
        <w:jc w:val="start"/>
        <w:rPr/>
      </w:pPr>
      <w:r>
        <w:rPr/>
        <w:t xml:space="preserve">Weng QY, Raff AB, Cohen JM, Gunasekera N, Okhovat JP, Vedak P, et al. Costs and consequences associated with misdiagnosed lower extremity cellulitis. </w:t>
      </w:r>
      <w:r>
        <w:rPr>
          <w:rStyle w:val="Emphasis"/>
        </w:rPr>
        <w:t xml:space="preserve">JAMA Dermatol </w:t>
      </w:r>
      <w:r>
        <w:rPr/>
        <w:t xml:space="preserve">. 2017; 153(2): 141–146. </w:t>
      </w:r>
    </w:p>
    <w:p>
      <w:pPr>
        <w:pStyle w:val="TextBody"/>
        <w:numPr>
          <w:ilvl w:val="0"/>
          <w:numId w:val="6"/>
        </w:numPr>
        <w:tabs>
          <w:tab w:val="clear" w:pos="1134"/>
          <w:tab w:val="left" w:pos="707" w:leader="none"/>
        </w:tabs>
        <w:bidi w:val="0"/>
        <w:ind w:start="707" w:hanging="283"/>
        <w:jc w:val="start"/>
        <w:rPr/>
      </w:pPr>
      <w:r>
        <w:rPr/>
        <w:t xml:space="preserve">Gunderson CG, Martinello RA. A systematic review of bacteremias in cellulitis and erysipelas </w:t>
      </w:r>
      <w:r>
        <w:rPr>
          <w:rStyle w:val="Emphasis"/>
        </w:rPr>
        <w:t xml:space="preserve">. J Infect. </w:t>
      </w:r>
      <w:r>
        <w:rPr/>
        <w:t xml:space="preserve">2012; 64(2): 148–155. doi: 10. 1016/j. jinf. 2011. 11. 004. </w:t>
      </w:r>
    </w:p>
    <w:p>
      <w:pPr>
        <w:pStyle w:val="TextBody"/>
        <w:numPr>
          <w:ilvl w:val="0"/>
          <w:numId w:val="7"/>
        </w:numPr>
        <w:tabs>
          <w:tab w:val="clear" w:pos="1134"/>
          <w:tab w:val="left" w:pos="707" w:leader="none"/>
        </w:tabs>
        <w:bidi w:val="0"/>
        <w:ind w:start="707" w:hanging="283"/>
        <w:jc w:val="start"/>
        <w:rPr/>
      </w:pPr>
      <w:r>
        <w:rPr/>
        <w:t xml:space="preserve">Esposito S, Noviello S, Leone SEpidemiology and microbiology of skin and soft tissue infections Current Opinion in Infectious Diseases 2016; 29(2): 109–115. </w:t>
      </w:r>
    </w:p>
    <w:p>
      <w:pPr>
        <w:pStyle w:val="TextBody"/>
        <w:numPr>
          <w:ilvl w:val="0"/>
          <w:numId w:val="8"/>
        </w:numPr>
        <w:tabs>
          <w:tab w:val="clear" w:pos="1134"/>
          <w:tab w:val="left" w:pos="707" w:leader="none"/>
        </w:tabs>
        <w:bidi w:val="0"/>
        <w:ind w:start="707" w:hanging="283"/>
        <w:jc w:val="start"/>
        <w:rPr/>
      </w:pPr>
      <w:r>
        <w:rPr/>
        <w:t xml:space="preserve">Dupuy A, Benchikhi H, Roujeau JC, Bernard P, Vaillant L, Chosidow O, et al. Risk factors for erysipelas of the leg (cellulitis): case-control study. </w:t>
      </w:r>
      <w:r>
        <w:rPr>
          <w:rStyle w:val="Emphasis"/>
        </w:rPr>
        <w:t xml:space="preserve">BMJ </w:t>
      </w:r>
      <w:r>
        <w:rPr/>
        <w:t xml:space="preserve">. 1999; 318(7198): 1591–1594. </w:t>
      </w:r>
    </w:p>
    <w:p>
      <w:pPr>
        <w:pStyle w:val="TextBody"/>
        <w:numPr>
          <w:ilvl w:val="0"/>
          <w:numId w:val="9"/>
        </w:numPr>
        <w:tabs>
          <w:tab w:val="clear" w:pos="1134"/>
          <w:tab w:val="left" w:pos="707" w:leader="none"/>
        </w:tabs>
        <w:bidi w:val="0"/>
        <w:ind w:start="707" w:hanging="283"/>
        <w:jc w:val="start"/>
        <w:rPr/>
      </w:pPr>
      <w:r>
        <w:rPr/>
        <w:t xml:space="preserve">Björnsdóttir S, Gottfredsson M, Thórisdóttir AS, Gunnarsson GB, Ríkardsdóttir H, Hilmarsdóttir I </w:t>
      </w:r>
      <w:r>
        <w:rPr>
          <w:rStyle w:val="Emphasis"/>
        </w:rPr>
        <w:t xml:space="preserve">. </w:t>
      </w:r>
      <w:r>
        <w:rPr/>
        <w:t xml:space="preserve">Risk factors for acute cellulitis of the lower limb: a prospective case–control study. </w:t>
      </w:r>
      <w:r>
        <w:rPr>
          <w:rStyle w:val="Emphasis"/>
        </w:rPr>
        <w:t xml:space="preserve">Clin Infect Dis </w:t>
      </w:r>
      <w:r>
        <w:rPr/>
        <w:t xml:space="preserve">. 2005; 41(10): 1416–1422. </w:t>
      </w:r>
    </w:p>
    <w:p>
      <w:pPr>
        <w:pStyle w:val="TextBody"/>
        <w:numPr>
          <w:ilvl w:val="0"/>
          <w:numId w:val="10"/>
        </w:numPr>
        <w:tabs>
          <w:tab w:val="clear" w:pos="1134"/>
          <w:tab w:val="left" w:pos="707" w:leader="none"/>
        </w:tabs>
        <w:bidi w:val="0"/>
        <w:ind w:start="707" w:hanging="283"/>
        <w:jc w:val="start"/>
        <w:rPr/>
      </w:pPr>
      <w:r>
        <w:rPr/>
        <w:t xml:space="preserve">Karppelin M, Siljander T, Vuopio-Varkila J, Kere J, Huhtala H, Vuento R, et al. Factors predisposing to acute and recurrent bacterial non-necrotizing cellulitis in hospitalized patients: a prospective case–control study. </w:t>
      </w:r>
      <w:r>
        <w:rPr>
          <w:rStyle w:val="Emphasis"/>
        </w:rPr>
        <w:t xml:space="preserve">Clin Microbiol Infect </w:t>
      </w:r>
      <w:r>
        <w:rPr/>
        <w:t xml:space="preserve">. 2010; 16(6): 729–734. </w:t>
      </w:r>
    </w:p>
    <w:p>
      <w:pPr>
        <w:pStyle w:val="TextBody"/>
        <w:numPr>
          <w:ilvl w:val="0"/>
          <w:numId w:val="11"/>
        </w:numPr>
        <w:tabs>
          <w:tab w:val="clear" w:pos="1134"/>
          <w:tab w:val="left" w:pos="707" w:leader="none"/>
        </w:tabs>
        <w:bidi w:val="0"/>
        <w:ind w:start="707" w:hanging="283"/>
        <w:jc w:val="start"/>
        <w:rPr/>
      </w:pPr>
      <w:r>
        <w:rPr/>
        <w:t xml:space="preserve">Halpern J, Holder R, Langford NJ. Ethnicity and other risk factors for acute lower limb cellulitis: a U. K.-based prospective case–control study. </w:t>
      </w:r>
      <w:r>
        <w:rPr>
          <w:rStyle w:val="Emphasis"/>
        </w:rPr>
        <w:t xml:space="preserve">Br J Dermatol </w:t>
      </w:r>
      <w:r>
        <w:rPr/>
        <w:t xml:space="preserve">. 2008; 158(6): 1288–1292. </w:t>
      </w:r>
    </w:p>
    <w:p>
      <w:pPr>
        <w:pStyle w:val="TextBody"/>
        <w:numPr>
          <w:ilvl w:val="0"/>
          <w:numId w:val="12"/>
        </w:numPr>
        <w:tabs>
          <w:tab w:val="clear" w:pos="1134"/>
          <w:tab w:val="left" w:pos="707" w:leader="none"/>
        </w:tabs>
        <w:bidi w:val="0"/>
        <w:ind w:start="707" w:hanging="283"/>
        <w:jc w:val="start"/>
        <w:rPr/>
      </w:pPr>
      <w:r>
        <w:rPr/>
        <w:t xml:space="preserve">Kish TD, Chang MH, Fung HB. Treatment of skin and soft tissue infections in the elderly: a review. </w:t>
      </w:r>
      <w:r>
        <w:rPr>
          <w:rStyle w:val="Emphasis"/>
        </w:rPr>
        <w:t xml:space="preserve">Am J Geriatr Pharmacother </w:t>
      </w:r>
      <w:r>
        <w:rPr/>
        <w:t xml:space="preserve">. 2010; 8(6): 485–513. </w:t>
      </w:r>
    </w:p>
    <w:p>
      <w:pPr>
        <w:pStyle w:val="TextBody"/>
        <w:numPr>
          <w:ilvl w:val="0"/>
          <w:numId w:val="13"/>
        </w:numPr>
        <w:tabs>
          <w:tab w:val="clear" w:pos="1134"/>
          <w:tab w:val="left" w:pos="707" w:leader="none"/>
        </w:tabs>
        <w:bidi w:val="0"/>
        <w:ind w:start="707" w:hanging="283"/>
        <w:jc w:val="start"/>
        <w:rPr/>
      </w:pPr>
      <w:r>
        <w:rPr/>
        <w:t xml:space="preserve">Garg A, Lavian J, Lin G, Sison C, Oppenheim M, Koo B. Clinical characteristics associated with days to discharge among patients admitted with a primary diagnosis of lower limb cellulitis. </w:t>
      </w:r>
      <w:r>
        <w:rPr>
          <w:rStyle w:val="Emphasis"/>
        </w:rPr>
        <w:t xml:space="preserve">J Am Acad Dermatol </w:t>
      </w:r>
      <w:r>
        <w:rPr/>
        <w:t xml:space="preserve">. 2017; 76(4): 626–631. </w:t>
      </w:r>
    </w:p>
    <w:p>
      <w:pPr>
        <w:pStyle w:val="TextBody"/>
        <w:numPr>
          <w:ilvl w:val="0"/>
          <w:numId w:val="14"/>
        </w:numPr>
        <w:tabs>
          <w:tab w:val="clear" w:pos="1134"/>
          <w:tab w:val="left" w:pos="707" w:leader="none"/>
        </w:tabs>
        <w:bidi w:val="0"/>
        <w:ind w:start="707" w:hanging="283"/>
        <w:jc w:val="start"/>
        <w:rPr/>
      </w:pPr>
      <w:r>
        <w:rPr/>
        <w:t xml:space="preserve">Morpeth SC, Chambers ST, Gallagher K, Frampton C, Pithie AD. Lower limb cellulitis: features associated with length of hospital stay. </w:t>
      </w:r>
      <w:r>
        <w:rPr>
          <w:rStyle w:val="Emphasis"/>
        </w:rPr>
        <w:t xml:space="preserve">J Infect </w:t>
      </w:r>
      <w:r>
        <w:rPr/>
        <w:t xml:space="preserve">. 2006; 52(1): 23–29. </w:t>
      </w:r>
    </w:p>
    <w:p>
      <w:pPr>
        <w:pStyle w:val="TextBody"/>
        <w:numPr>
          <w:ilvl w:val="0"/>
          <w:numId w:val="15"/>
        </w:numPr>
        <w:tabs>
          <w:tab w:val="clear" w:pos="1134"/>
          <w:tab w:val="left" w:pos="707" w:leader="none"/>
        </w:tabs>
        <w:bidi w:val="0"/>
        <w:ind w:start="707" w:hanging="283"/>
        <w:jc w:val="start"/>
        <w:rPr/>
      </w:pPr>
      <w:r>
        <w:rPr/>
        <w:t xml:space="preserve">Figtree M, Konecny P, Jennings Z, Goh C, Krilis SA, Miyakis S. Risk stratification and outcome of cellulitis admitted to hospital. </w:t>
      </w:r>
      <w:r>
        <w:rPr>
          <w:rStyle w:val="Emphasis"/>
        </w:rPr>
        <w:t xml:space="preserve">J Infect </w:t>
      </w:r>
      <w:r>
        <w:rPr/>
        <w:t xml:space="preserve">. 2010; 60(6): 431–439. </w:t>
      </w:r>
    </w:p>
    <w:p>
      <w:pPr>
        <w:pStyle w:val="TextBody"/>
        <w:numPr>
          <w:ilvl w:val="0"/>
          <w:numId w:val="16"/>
        </w:numPr>
        <w:tabs>
          <w:tab w:val="clear" w:pos="1134"/>
          <w:tab w:val="left" w:pos="707" w:leader="none"/>
        </w:tabs>
        <w:bidi w:val="0"/>
        <w:ind w:start="707" w:hanging="283"/>
        <w:jc w:val="start"/>
        <w:rPr/>
      </w:pPr>
      <w:r>
        <w:rPr/>
        <w:t xml:space="preserve">Theofiles M, Maxson J, Herges L, Marcelin A, Angstman KB. Cellulitis in obesity: adverse outcomes affected by increases in body mass index. </w:t>
      </w:r>
      <w:r>
        <w:rPr>
          <w:rStyle w:val="Emphasis"/>
        </w:rPr>
        <w:t xml:space="preserve">J Prim Care Community Health </w:t>
      </w:r>
      <w:r>
        <w:rPr/>
        <w:t xml:space="preserve">. 2015; 6(4): 233–238. </w:t>
      </w:r>
    </w:p>
    <w:p>
      <w:pPr>
        <w:pStyle w:val="TextBody"/>
        <w:numPr>
          <w:ilvl w:val="0"/>
          <w:numId w:val="17"/>
        </w:numPr>
        <w:tabs>
          <w:tab w:val="clear" w:pos="1134"/>
          <w:tab w:val="left" w:pos="707" w:leader="none"/>
        </w:tabs>
        <w:bidi w:val="0"/>
        <w:ind w:start="707" w:hanging="283"/>
        <w:jc w:val="start"/>
        <w:rPr/>
      </w:pPr>
      <w:r>
        <w:rPr/>
        <w:t xml:space="preserve">Tan R, Newberry DJ, Arts GJ, Onwuamaegbu ME. The design, characteristics and predictors of mortality in the North of England Cellulitis Treatment Assessment (NECTA). </w:t>
      </w:r>
      <w:r>
        <w:rPr>
          <w:rStyle w:val="Emphasis"/>
        </w:rPr>
        <w:t xml:space="preserve">Int J Clin Pract </w:t>
      </w:r>
      <w:r>
        <w:rPr>
          <w:u w:val="single"/>
        </w:rPr>
        <w:t xml:space="preserve">. </w:t>
      </w:r>
      <w:r>
        <w:rPr/>
        <w:t xml:space="preserve">2007; 61(11): 1889–1893. </w:t>
      </w:r>
    </w:p>
    <w:p>
      <w:pPr>
        <w:pStyle w:val="TextBody"/>
        <w:numPr>
          <w:ilvl w:val="0"/>
          <w:numId w:val="18"/>
        </w:numPr>
        <w:tabs>
          <w:tab w:val="clear" w:pos="1134"/>
          <w:tab w:val="left" w:pos="707" w:leader="none"/>
        </w:tabs>
        <w:bidi w:val="0"/>
        <w:ind w:start="707" w:hanging="283"/>
        <w:jc w:val="start"/>
        <w:rPr/>
      </w:pPr>
      <w:r>
        <w:rPr/>
        <w:t xml:space="preserve">Carratalà J, Rosón B, Fernández-Sabé N, Shaw E, del Rio O, Rivera A, et al. Factors associated with complications and mortality in adult patients hospitalized for infectious cellulitis. </w:t>
      </w:r>
      <w:r>
        <w:rPr>
          <w:rStyle w:val="Emphasis"/>
        </w:rPr>
        <w:t xml:space="preserve">Eur J Clin Microbiol Infect Dis </w:t>
      </w:r>
      <w:r>
        <w:rPr/>
        <w:t xml:space="preserve">. 2003; 22(3): 151–157. </w:t>
      </w:r>
    </w:p>
    <w:p>
      <w:pPr>
        <w:pStyle w:val="TextBody"/>
        <w:numPr>
          <w:ilvl w:val="0"/>
          <w:numId w:val="19"/>
        </w:numPr>
        <w:tabs>
          <w:tab w:val="clear" w:pos="1134"/>
          <w:tab w:val="left" w:pos="707" w:leader="none"/>
        </w:tabs>
        <w:bidi w:val="0"/>
        <w:ind w:start="707" w:hanging="283"/>
        <w:jc w:val="start"/>
        <w:rPr/>
      </w:pPr>
      <w:r>
        <w:rPr/>
        <w:t xml:space="preserve">Garg A, Lavian J, Lin G, Sison C, Oppenheim M, Koo B. Clinical factors associated with readmission among patients with lower limb cellulitis. </w:t>
      </w:r>
      <w:r>
        <w:rPr>
          <w:rStyle w:val="Emphasis"/>
        </w:rPr>
        <w:t xml:space="preserve">Dermatology </w:t>
      </w:r>
      <w:r>
        <w:rPr/>
        <w:t xml:space="preserve">. 2017; 233(1): 58–63. </w:t>
      </w:r>
    </w:p>
    <w:p>
      <w:pPr>
        <w:pStyle w:val="TextBody"/>
        <w:numPr>
          <w:ilvl w:val="0"/>
          <w:numId w:val="20"/>
        </w:numPr>
        <w:tabs>
          <w:tab w:val="clear" w:pos="1134"/>
          <w:tab w:val="left" w:pos="707" w:leader="none"/>
        </w:tabs>
        <w:bidi w:val="0"/>
        <w:ind w:start="707" w:hanging="283"/>
        <w:jc w:val="start"/>
        <w:rPr/>
      </w:pPr>
      <w:r>
        <w:rPr/>
        <w:t xml:space="preserve">Karppelin M, Siljander T, Aittoniemi J, Hurme M, Huttunen R, Huhtala H, et al. Predictors of recurrent cellulitis in five years. Clinical risk factors and the role of PTX3 and CRP. </w:t>
      </w:r>
      <w:r>
        <w:rPr>
          <w:rStyle w:val="Emphasis"/>
        </w:rPr>
        <w:t xml:space="preserve">J Infect </w:t>
      </w:r>
      <w:r>
        <w:rPr/>
        <w:t xml:space="preserve">. 2015; 70(5): 467–473. </w:t>
      </w:r>
    </w:p>
    <w:p>
      <w:pPr>
        <w:pStyle w:val="TextBody"/>
        <w:numPr>
          <w:ilvl w:val="0"/>
          <w:numId w:val="21"/>
        </w:numPr>
        <w:tabs>
          <w:tab w:val="clear" w:pos="1134"/>
          <w:tab w:val="left" w:pos="707" w:leader="none"/>
        </w:tabs>
        <w:bidi w:val="0"/>
        <w:ind w:start="707" w:hanging="283"/>
        <w:jc w:val="start"/>
        <w:rPr/>
      </w:pPr>
      <w:r>
        <w:rPr/>
        <w:t xml:space="preserve">Eron, L. J. 2000. Infections of skin and soft tissues: outcome of a classification scheme. Clinical Infectious Diseases. 31, 287 (A432). </w:t>
      </w:r>
    </w:p>
    <w:p>
      <w:pPr>
        <w:pStyle w:val="TextBody"/>
        <w:numPr>
          <w:ilvl w:val="0"/>
          <w:numId w:val="22"/>
        </w:numPr>
        <w:tabs>
          <w:tab w:val="clear" w:pos="1134"/>
          <w:tab w:val="left" w:pos="707" w:leader="none"/>
        </w:tabs>
        <w:bidi w:val="0"/>
        <w:ind w:start="707" w:hanging="283"/>
        <w:jc w:val="start"/>
        <w:rPr/>
      </w:pPr>
      <w:r>
        <w:rPr/>
        <w:t xml:space="preserve">Norman DC, Grahn D, Yoshikawa TT (1985) Fever and aging. J Am Geriatr Soc 33: 859. </w:t>
      </w:r>
    </w:p>
    <w:p>
      <w:pPr>
        <w:pStyle w:val="TextBody"/>
        <w:bidi w:val="0"/>
        <w:jc w:val="start"/>
        <w:rPr/>
      </w:pPr>
      <w:r>
        <w:rPr/>
        <w:t xml:space="preserve">Table 1. Patient Characteristics </w:t>
      </w:r>
    </w:p>
    <w:tbl>
      <w:tblPr>
        <w:tblW w:w="4384" w:type="dxa"/>
        <w:jc w:val="start"/>
        <w:tblInd w:w="0" w:type="dxa"/>
        <w:tblLayout w:type="fixed"/>
        <w:tblCellMar>
          <w:top w:w="28" w:type="dxa"/>
          <w:start w:w="28" w:type="dxa"/>
          <w:bottom w:w="28" w:type="dxa"/>
          <w:end w:w="28" w:type="dxa"/>
        </w:tblCellMar>
      </w:tblPr>
      <w:tblGrid>
        <w:gridCol w:w="1787"/>
        <w:gridCol w:w="876"/>
        <w:gridCol w:w="829"/>
        <w:gridCol w:w="892"/>
      </w:tblGrid>
      <w:tr>
        <w:trPr/>
        <w:tc>
          <w:tcPr>
            <w:tcW w:w="1787" w:type="dxa"/>
            <w:tcBorders/>
            <w:vAlign w:val="center"/>
          </w:tcPr>
          <w:p>
            <w:pPr>
              <w:pStyle w:val="TableContents"/>
              <w:bidi w:val="0"/>
              <w:spacing w:before="0" w:after="283"/>
              <w:jc w:val="start"/>
              <w:rPr>
                <w:sz w:val="4"/>
                <w:szCs w:val="4"/>
              </w:rPr>
            </w:pPr>
            <w:r>
              <w:rPr>
                <w:sz w:val="4"/>
                <w:szCs w:val="4"/>
              </w:rPr>
            </w:r>
          </w:p>
        </w:tc>
        <w:tc>
          <w:tcPr>
            <w:tcW w:w="876" w:type="dxa"/>
            <w:tcBorders/>
            <w:vAlign w:val="center"/>
          </w:tcPr>
          <w:p>
            <w:pPr>
              <w:pStyle w:val="TableContents"/>
              <w:bidi w:val="0"/>
              <w:spacing w:before="0" w:after="283"/>
              <w:jc w:val="start"/>
              <w:rPr/>
            </w:pPr>
            <w:r>
              <w:rPr/>
              <w:t xml:space="preserve">Age &lt; 75 years (N= 69) </w:t>
            </w:r>
          </w:p>
        </w:tc>
        <w:tc>
          <w:tcPr>
            <w:tcW w:w="829" w:type="dxa"/>
            <w:tcBorders/>
            <w:vAlign w:val="center"/>
          </w:tcPr>
          <w:p>
            <w:pPr>
              <w:pStyle w:val="TableContents"/>
              <w:bidi w:val="0"/>
              <w:spacing w:before="0" w:after="283"/>
              <w:jc w:val="start"/>
              <w:rPr/>
            </w:pPr>
            <w:r>
              <w:rPr/>
              <w:t xml:space="preserve">Age 75+ years (N= 31) </w:t>
            </w:r>
          </w:p>
        </w:tc>
        <w:tc>
          <w:tcPr>
            <w:tcW w:w="892" w:type="dxa"/>
            <w:tcBorders/>
            <w:vAlign w:val="center"/>
          </w:tcPr>
          <w:p>
            <w:pPr>
              <w:pStyle w:val="TableContents"/>
              <w:bidi w:val="0"/>
              <w:spacing w:before="0" w:after="283"/>
              <w:jc w:val="start"/>
              <w:rPr/>
            </w:pPr>
            <w:r>
              <w:rPr/>
              <w:t xml:space="preserve">P-value </w:t>
            </w:r>
          </w:p>
        </w:tc>
      </w:tr>
      <w:tr>
        <w:trPr/>
        <w:tc>
          <w:tcPr>
            <w:tcW w:w="1787" w:type="dxa"/>
            <w:tcBorders/>
            <w:vAlign w:val="center"/>
          </w:tcPr>
          <w:p>
            <w:pPr>
              <w:pStyle w:val="TableContents"/>
              <w:bidi w:val="0"/>
              <w:spacing w:before="0" w:after="283"/>
              <w:jc w:val="start"/>
              <w:rPr/>
            </w:pPr>
            <w:r>
              <w:rPr/>
              <w:t xml:space="preserve">Age mean(SD) </w:t>
            </w:r>
          </w:p>
        </w:tc>
        <w:tc>
          <w:tcPr>
            <w:tcW w:w="876" w:type="dxa"/>
            <w:tcBorders/>
            <w:vAlign w:val="center"/>
          </w:tcPr>
          <w:p>
            <w:pPr>
              <w:pStyle w:val="TableContents"/>
              <w:bidi w:val="0"/>
              <w:spacing w:before="0" w:after="283"/>
              <w:jc w:val="start"/>
              <w:rPr/>
            </w:pPr>
            <w:r>
              <w:rPr/>
              <w:t xml:space="preserve">53. 4 (±14. 2) </w:t>
            </w:r>
          </w:p>
        </w:tc>
        <w:tc>
          <w:tcPr>
            <w:tcW w:w="829" w:type="dxa"/>
            <w:tcBorders/>
            <w:vAlign w:val="center"/>
          </w:tcPr>
          <w:p>
            <w:pPr>
              <w:pStyle w:val="TableContents"/>
              <w:bidi w:val="0"/>
              <w:spacing w:before="0" w:after="283"/>
              <w:jc w:val="start"/>
              <w:rPr/>
            </w:pPr>
            <w:r>
              <w:rPr/>
              <w:t xml:space="preserve">84. 4 (±5. 8) </w:t>
            </w:r>
          </w:p>
        </w:tc>
        <w:tc>
          <w:tcPr>
            <w:tcW w:w="892" w:type="dxa"/>
            <w:tcBorders/>
            <w:vAlign w:val="center"/>
          </w:tcPr>
          <w:p>
            <w:pPr>
              <w:pStyle w:val="TableContents"/>
              <w:bidi w:val="0"/>
              <w:spacing w:before="0" w:after="283"/>
              <w:jc w:val="start"/>
              <w:rPr/>
            </w:pPr>
            <w:r>
              <w:rPr/>
              <w:t xml:space="preserve">&lt; 0. 001 </w:t>
            </w:r>
          </w:p>
        </w:tc>
      </w:tr>
      <w:tr>
        <w:trPr/>
        <w:tc>
          <w:tcPr>
            <w:tcW w:w="1787" w:type="dxa"/>
            <w:tcBorders/>
            <w:vAlign w:val="center"/>
          </w:tcPr>
          <w:p>
            <w:pPr>
              <w:pStyle w:val="TableContents"/>
              <w:bidi w:val="0"/>
              <w:spacing w:before="0" w:after="283"/>
              <w:jc w:val="start"/>
              <w:rPr/>
            </w:pPr>
            <w:r>
              <w:rPr/>
              <w:t xml:space="preserve">Female n (%) </w:t>
            </w:r>
          </w:p>
        </w:tc>
        <w:tc>
          <w:tcPr>
            <w:tcW w:w="876" w:type="dxa"/>
            <w:tcBorders/>
            <w:vAlign w:val="center"/>
          </w:tcPr>
          <w:p>
            <w:pPr>
              <w:pStyle w:val="TableContents"/>
              <w:bidi w:val="0"/>
              <w:spacing w:before="0" w:after="283"/>
              <w:jc w:val="start"/>
              <w:rPr/>
            </w:pPr>
            <w:r>
              <w:rPr/>
              <w:t xml:space="preserve">23 (33. 3%) </w:t>
            </w:r>
          </w:p>
        </w:tc>
        <w:tc>
          <w:tcPr>
            <w:tcW w:w="829" w:type="dxa"/>
            <w:tcBorders/>
            <w:vAlign w:val="center"/>
          </w:tcPr>
          <w:p>
            <w:pPr>
              <w:pStyle w:val="TableContents"/>
              <w:bidi w:val="0"/>
              <w:spacing w:before="0" w:after="283"/>
              <w:jc w:val="start"/>
              <w:rPr/>
            </w:pPr>
            <w:r>
              <w:rPr/>
              <w:t xml:space="preserve">16 (48. 5%) </w:t>
            </w:r>
          </w:p>
        </w:tc>
        <w:tc>
          <w:tcPr>
            <w:tcW w:w="892" w:type="dxa"/>
            <w:tcBorders/>
            <w:vAlign w:val="center"/>
          </w:tcPr>
          <w:p>
            <w:pPr>
              <w:pStyle w:val="TableContents"/>
              <w:bidi w:val="0"/>
              <w:spacing w:before="0" w:after="283"/>
              <w:jc w:val="start"/>
              <w:rPr/>
            </w:pPr>
            <w:r>
              <w:rPr/>
              <w:t xml:space="preserve">0. 12 </w:t>
            </w:r>
          </w:p>
        </w:tc>
      </w:tr>
      <w:tr>
        <w:trPr/>
        <w:tc>
          <w:tcPr>
            <w:tcW w:w="1787" w:type="dxa"/>
            <w:tcBorders/>
            <w:vAlign w:val="center"/>
          </w:tcPr>
          <w:p>
            <w:pPr>
              <w:pStyle w:val="TableContents"/>
              <w:bidi w:val="0"/>
              <w:spacing w:before="0" w:after="283"/>
              <w:jc w:val="start"/>
              <w:rPr/>
            </w:pPr>
            <w:r>
              <w:rPr/>
              <w:t xml:space="preserve">BMI </w:t>
            </w:r>
          </w:p>
        </w:tc>
        <w:tc>
          <w:tcPr>
            <w:tcW w:w="876" w:type="dxa"/>
            <w:tcBorders/>
            <w:vAlign w:val="center"/>
          </w:tcPr>
          <w:p>
            <w:pPr>
              <w:pStyle w:val="TableContents"/>
              <w:bidi w:val="0"/>
              <w:spacing w:before="0" w:after="283"/>
              <w:jc w:val="start"/>
              <w:rPr/>
            </w:pPr>
            <w:r>
              <w:rPr/>
              <w:t xml:space="preserve">36. 0 (±12. 3) </w:t>
            </w:r>
          </w:p>
        </w:tc>
        <w:tc>
          <w:tcPr>
            <w:tcW w:w="829" w:type="dxa"/>
            <w:tcBorders/>
            <w:vAlign w:val="center"/>
          </w:tcPr>
          <w:p>
            <w:pPr>
              <w:pStyle w:val="TableContents"/>
              <w:bidi w:val="0"/>
              <w:spacing w:before="0" w:after="283"/>
              <w:jc w:val="start"/>
              <w:rPr/>
            </w:pPr>
            <w:r>
              <w:rPr/>
              <w:t xml:space="preserve">28. 3 (±8. 0) </w:t>
            </w:r>
          </w:p>
        </w:tc>
        <w:tc>
          <w:tcPr>
            <w:tcW w:w="892" w:type="dxa"/>
            <w:tcBorders/>
            <w:vAlign w:val="center"/>
          </w:tcPr>
          <w:p>
            <w:pPr>
              <w:pStyle w:val="TableContents"/>
              <w:bidi w:val="0"/>
              <w:spacing w:before="0" w:after="283"/>
              <w:jc w:val="start"/>
              <w:rPr/>
            </w:pPr>
            <w:r>
              <w:rPr/>
              <w:t xml:space="preserve">&lt;0. 001 </w:t>
            </w:r>
          </w:p>
        </w:tc>
      </w:tr>
      <w:tr>
        <w:trPr/>
        <w:tc>
          <w:tcPr>
            <w:tcW w:w="1787" w:type="dxa"/>
            <w:tcBorders/>
            <w:vAlign w:val="center"/>
          </w:tcPr>
          <w:p>
            <w:pPr>
              <w:pStyle w:val="TableContents"/>
              <w:bidi w:val="0"/>
              <w:spacing w:before="0" w:after="283"/>
              <w:jc w:val="start"/>
              <w:rPr/>
            </w:pPr>
            <w:r>
              <w:rPr/>
              <w:t xml:space="preserve">Residential Aged Care Facility </w:t>
            </w:r>
          </w:p>
        </w:tc>
        <w:tc>
          <w:tcPr>
            <w:tcW w:w="876" w:type="dxa"/>
            <w:tcBorders/>
            <w:vAlign w:val="center"/>
          </w:tcPr>
          <w:p>
            <w:pPr>
              <w:pStyle w:val="TableContents"/>
              <w:bidi w:val="0"/>
              <w:spacing w:before="0" w:after="283"/>
              <w:jc w:val="start"/>
              <w:rPr/>
            </w:pPr>
            <w:r>
              <w:rPr/>
              <w:t xml:space="preserve">2 (2. 9%) </w:t>
            </w:r>
          </w:p>
        </w:tc>
        <w:tc>
          <w:tcPr>
            <w:tcW w:w="829" w:type="dxa"/>
            <w:tcBorders/>
            <w:vAlign w:val="center"/>
          </w:tcPr>
          <w:p>
            <w:pPr>
              <w:pStyle w:val="TableContents"/>
              <w:bidi w:val="0"/>
              <w:spacing w:before="0" w:after="283"/>
              <w:jc w:val="start"/>
              <w:rPr/>
            </w:pPr>
            <w:r>
              <w:rPr/>
              <w:t xml:space="preserve">8 (25. 8%) </w:t>
            </w:r>
          </w:p>
        </w:tc>
        <w:tc>
          <w:tcPr>
            <w:tcW w:w="892" w:type="dxa"/>
            <w:tcBorders/>
            <w:vAlign w:val="center"/>
          </w:tcPr>
          <w:p>
            <w:pPr>
              <w:pStyle w:val="TableContents"/>
              <w:bidi w:val="0"/>
              <w:spacing w:before="0" w:after="283"/>
              <w:jc w:val="start"/>
              <w:rPr/>
            </w:pPr>
            <w:r>
              <w:rPr/>
              <w:t xml:space="preserve">0. 001 </w:t>
            </w:r>
          </w:p>
        </w:tc>
      </w:tr>
      <w:tr>
        <w:trPr/>
        <w:tc>
          <w:tcPr>
            <w:tcW w:w="1787" w:type="dxa"/>
            <w:tcBorders/>
            <w:vAlign w:val="center"/>
          </w:tcPr>
          <w:p>
            <w:pPr>
              <w:pStyle w:val="TableContents"/>
              <w:bidi w:val="0"/>
              <w:spacing w:before="0" w:after="283"/>
              <w:jc w:val="start"/>
              <w:rPr/>
            </w:pPr>
            <w:r>
              <w:rPr/>
              <w:t xml:space="preserve">Mobility </w:t>
            </w:r>
          </w:p>
        </w:tc>
        <w:tc>
          <w:tcPr>
            <w:tcW w:w="876" w:type="dxa"/>
            <w:tcBorders/>
            <w:vAlign w:val="center"/>
          </w:tcPr>
          <w:p>
            <w:pPr>
              <w:pStyle w:val="TableContents"/>
              <w:bidi w:val="0"/>
              <w:spacing w:before="0" w:after="283"/>
              <w:jc w:val="start"/>
              <w:rPr>
                <w:sz w:val="4"/>
                <w:szCs w:val="4"/>
              </w:rPr>
            </w:pPr>
            <w:r>
              <w:rPr>
                <w:sz w:val="4"/>
                <w:szCs w:val="4"/>
              </w:rPr>
            </w:r>
          </w:p>
        </w:tc>
        <w:tc>
          <w:tcPr>
            <w:tcW w:w="829" w:type="dxa"/>
            <w:tcBorders/>
            <w:vAlign w:val="center"/>
          </w:tcPr>
          <w:p>
            <w:pPr>
              <w:pStyle w:val="TableContents"/>
              <w:bidi w:val="0"/>
              <w:spacing w:before="0" w:after="283"/>
              <w:jc w:val="start"/>
              <w:rPr>
                <w:sz w:val="4"/>
                <w:szCs w:val="4"/>
              </w:rPr>
            </w:pPr>
            <w:r>
              <w:rPr>
                <w:sz w:val="4"/>
                <w:szCs w:val="4"/>
              </w:rPr>
            </w:r>
          </w:p>
        </w:tc>
        <w:tc>
          <w:tcPr>
            <w:tcW w:w="892" w:type="dxa"/>
            <w:tcBorders/>
            <w:vAlign w:val="center"/>
          </w:tcPr>
          <w:p>
            <w:pPr>
              <w:pStyle w:val="TableContents"/>
              <w:bidi w:val="0"/>
              <w:spacing w:before="0" w:after="283"/>
              <w:jc w:val="start"/>
              <w:rPr/>
            </w:pPr>
            <w:r>
              <w:rPr/>
              <w:t xml:space="preserve">&lt;0. 001 </w:t>
            </w:r>
          </w:p>
        </w:tc>
      </w:tr>
      <w:tr>
        <w:trPr/>
        <w:tc>
          <w:tcPr>
            <w:tcW w:w="1787" w:type="dxa"/>
            <w:tcBorders/>
            <w:vAlign w:val="center"/>
          </w:tcPr>
          <w:p>
            <w:pPr>
              <w:pStyle w:val="TableContents"/>
              <w:bidi w:val="0"/>
              <w:spacing w:before="0" w:after="283"/>
              <w:jc w:val="start"/>
              <w:rPr/>
            </w:pPr>
            <w:r>
              <w:rPr/>
              <w:t xml:space="preserve">Mobile unaided </w:t>
            </w:r>
          </w:p>
        </w:tc>
        <w:tc>
          <w:tcPr>
            <w:tcW w:w="876" w:type="dxa"/>
            <w:tcBorders/>
            <w:vAlign w:val="center"/>
          </w:tcPr>
          <w:p>
            <w:pPr>
              <w:pStyle w:val="TableContents"/>
              <w:bidi w:val="0"/>
              <w:spacing w:before="0" w:after="283"/>
              <w:jc w:val="start"/>
              <w:rPr/>
            </w:pPr>
            <w:r>
              <w:rPr/>
              <w:t xml:space="preserve">61 (88. 4%) </w:t>
            </w:r>
          </w:p>
        </w:tc>
        <w:tc>
          <w:tcPr>
            <w:tcW w:w="829" w:type="dxa"/>
            <w:tcBorders/>
            <w:vAlign w:val="center"/>
          </w:tcPr>
          <w:p>
            <w:pPr>
              <w:pStyle w:val="TableContents"/>
              <w:bidi w:val="0"/>
              <w:spacing w:before="0" w:after="283"/>
              <w:jc w:val="start"/>
              <w:rPr/>
            </w:pPr>
            <w:r>
              <w:rPr/>
              <w:t xml:space="preserve">13 41. 9%) </w:t>
            </w:r>
          </w:p>
        </w:tc>
        <w:tc>
          <w:tcPr>
            <w:tcW w:w="892" w:type="dxa"/>
            <w:tcBorders/>
            <w:vAlign w:val="center"/>
          </w:tcPr>
          <w:p>
            <w:pPr>
              <w:pStyle w:val="TableContents"/>
              <w:bidi w:val="0"/>
              <w:spacing w:before="0" w:after="283"/>
              <w:jc w:val="start"/>
              <w:rPr>
                <w:sz w:val="4"/>
                <w:szCs w:val="4"/>
              </w:rPr>
            </w:pPr>
            <w:r>
              <w:rPr>
                <w:sz w:val="4"/>
                <w:szCs w:val="4"/>
              </w:rPr>
            </w:r>
          </w:p>
        </w:tc>
      </w:tr>
      <w:tr>
        <w:trPr/>
        <w:tc>
          <w:tcPr>
            <w:tcW w:w="1787" w:type="dxa"/>
            <w:tcBorders/>
            <w:vAlign w:val="center"/>
          </w:tcPr>
          <w:p>
            <w:pPr>
              <w:pStyle w:val="TableContents"/>
              <w:bidi w:val="0"/>
              <w:spacing w:before="0" w:after="283"/>
              <w:jc w:val="start"/>
              <w:rPr/>
            </w:pPr>
            <w:r>
              <w:rPr/>
              <w:t xml:space="preserve">Mobile with aid </w:t>
            </w:r>
          </w:p>
        </w:tc>
        <w:tc>
          <w:tcPr>
            <w:tcW w:w="876" w:type="dxa"/>
            <w:tcBorders/>
            <w:vAlign w:val="center"/>
          </w:tcPr>
          <w:p>
            <w:pPr>
              <w:pStyle w:val="TableContents"/>
              <w:bidi w:val="0"/>
              <w:spacing w:before="0" w:after="283"/>
              <w:jc w:val="start"/>
              <w:rPr/>
            </w:pPr>
            <w:r>
              <w:rPr/>
              <w:t xml:space="preserve">8 (11. 6%) </w:t>
            </w:r>
          </w:p>
        </w:tc>
        <w:tc>
          <w:tcPr>
            <w:tcW w:w="829" w:type="dxa"/>
            <w:tcBorders/>
            <w:vAlign w:val="center"/>
          </w:tcPr>
          <w:p>
            <w:pPr>
              <w:pStyle w:val="TableContents"/>
              <w:bidi w:val="0"/>
              <w:spacing w:before="0" w:after="283"/>
              <w:jc w:val="start"/>
              <w:rPr/>
            </w:pPr>
            <w:r>
              <w:rPr/>
              <w:t xml:space="preserve">18 (58. 1%) </w:t>
            </w:r>
          </w:p>
        </w:tc>
        <w:tc>
          <w:tcPr>
            <w:tcW w:w="892" w:type="dxa"/>
            <w:tcBorders/>
            <w:vAlign w:val="center"/>
          </w:tcPr>
          <w:p>
            <w:pPr>
              <w:pStyle w:val="TableContents"/>
              <w:bidi w:val="0"/>
              <w:spacing w:before="0" w:after="283"/>
              <w:jc w:val="start"/>
              <w:rPr>
                <w:sz w:val="4"/>
                <w:szCs w:val="4"/>
              </w:rPr>
            </w:pPr>
            <w:r>
              <w:rPr>
                <w:sz w:val="4"/>
                <w:szCs w:val="4"/>
              </w:rPr>
            </w:r>
          </w:p>
        </w:tc>
      </w:tr>
      <w:tr>
        <w:trPr/>
        <w:tc>
          <w:tcPr>
            <w:tcW w:w="1787" w:type="dxa"/>
            <w:tcBorders/>
            <w:vAlign w:val="center"/>
          </w:tcPr>
          <w:p>
            <w:pPr>
              <w:pStyle w:val="TableContents"/>
              <w:bidi w:val="0"/>
              <w:spacing w:before="0" w:after="283"/>
              <w:jc w:val="start"/>
              <w:rPr/>
            </w:pPr>
            <w:r>
              <w:rPr/>
              <w:t xml:space="preserve">Dependent oedema </w:t>
            </w:r>
          </w:p>
        </w:tc>
        <w:tc>
          <w:tcPr>
            <w:tcW w:w="876" w:type="dxa"/>
            <w:tcBorders/>
            <w:vAlign w:val="center"/>
          </w:tcPr>
          <w:p>
            <w:pPr>
              <w:pStyle w:val="TableContents"/>
              <w:bidi w:val="0"/>
              <w:spacing w:before="0" w:after="283"/>
              <w:jc w:val="start"/>
              <w:rPr/>
            </w:pPr>
            <w:r>
              <w:rPr/>
              <w:t xml:space="preserve">– </w:t>
            </w:r>
          </w:p>
        </w:tc>
        <w:tc>
          <w:tcPr>
            <w:tcW w:w="829" w:type="dxa"/>
            <w:tcBorders/>
            <w:vAlign w:val="center"/>
          </w:tcPr>
          <w:p>
            <w:pPr>
              <w:pStyle w:val="TableContents"/>
              <w:bidi w:val="0"/>
              <w:spacing w:before="0" w:after="283"/>
              <w:jc w:val="start"/>
              <w:rPr/>
            </w:pPr>
            <w:r>
              <w:rPr/>
              <w:t xml:space="preserve">4. 0 (1. 3-12. 6) </w:t>
            </w:r>
          </w:p>
        </w:tc>
        <w:tc>
          <w:tcPr>
            <w:tcW w:w="892" w:type="dxa"/>
            <w:tcBorders/>
            <w:vAlign w:val="center"/>
          </w:tcPr>
          <w:p>
            <w:pPr>
              <w:pStyle w:val="TableContents"/>
              <w:bidi w:val="0"/>
              <w:spacing w:before="0" w:after="283"/>
              <w:jc w:val="start"/>
              <w:rPr/>
            </w:pPr>
            <w:r>
              <w:rPr/>
              <w:t xml:space="preserve">0. 018 </w:t>
            </w:r>
          </w:p>
        </w:tc>
      </w:tr>
      <w:tr>
        <w:trPr/>
        <w:tc>
          <w:tcPr>
            <w:tcW w:w="1787" w:type="dxa"/>
            <w:tcBorders/>
            <w:vAlign w:val="center"/>
          </w:tcPr>
          <w:p>
            <w:pPr>
              <w:pStyle w:val="TableContents"/>
              <w:bidi w:val="0"/>
              <w:spacing w:before="0" w:after="283"/>
              <w:jc w:val="start"/>
              <w:rPr/>
            </w:pPr>
            <w:r>
              <w:rPr/>
              <w:t xml:space="preserve">Risk factors† OR (95% CI) </w:t>
            </w:r>
          </w:p>
        </w:tc>
        <w:tc>
          <w:tcPr>
            <w:tcW w:w="876" w:type="dxa"/>
            <w:tcBorders/>
            <w:vAlign w:val="center"/>
          </w:tcPr>
          <w:p>
            <w:pPr>
              <w:pStyle w:val="TableContents"/>
              <w:bidi w:val="0"/>
              <w:spacing w:before="0" w:after="283"/>
              <w:jc w:val="start"/>
              <w:rPr>
                <w:sz w:val="4"/>
                <w:szCs w:val="4"/>
              </w:rPr>
            </w:pPr>
            <w:r>
              <w:rPr>
                <w:sz w:val="4"/>
                <w:szCs w:val="4"/>
              </w:rPr>
            </w:r>
          </w:p>
        </w:tc>
        <w:tc>
          <w:tcPr>
            <w:tcW w:w="829" w:type="dxa"/>
            <w:tcBorders/>
            <w:vAlign w:val="center"/>
          </w:tcPr>
          <w:p>
            <w:pPr>
              <w:pStyle w:val="TableContents"/>
              <w:bidi w:val="0"/>
              <w:spacing w:before="0" w:after="283"/>
              <w:jc w:val="start"/>
              <w:rPr>
                <w:sz w:val="4"/>
                <w:szCs w:val="4"/>
              </w:rPr>
            </w:pPr>
            <w:r>
              <w:rPr>
                <w:sz w:val="4"/>
                <w:szCs w:val="4"/>
              </w:rPr>
            </w:r>
          </w:p>
        </w:tc>
        <w:tc>
          <w:tcPr>
            <w:tcW w:w="892" w:type="dxa"/>
            <w:tcBorders/>
            <w:vAlign w:val="center"/>
          </w:tcPr>
          <w:p>
            <w:pPr>
              <w:pStyle w:val="TableContents"/>
              <w:bidi w:val="0"/>
              <w:spacing w:before="0" w:after="283"/>
              <w:jc w:val="start"/>
              <w:rPr>
                <w:sz w:val="4"/>
                <w:szCs w:val="4"/>
              </w:rPr>
            </w:pPr>
            <w:r>
              <w:rPr>
                <w:sz w:val="4"/>
                <w:szCs w:val="4"/>
              </w:rPr>
            </w:r>
          </w:p>
        </w:tc>
      </w:tr>
      <w:tr>
        <w:trPr/>
        <w:tc>
          <w:tcPr>
            <w:tcW w:w="1787" w:type="dxa"/>
            <w:tcBorders/>
            <w:vAlign w:val="center"/>
          </w:tcPr>
          <w:p>
            <w:pPr>
              <w:pStyle w:val="TableContents"/>
              <w:bidi w:val="0"/>
              <w:spacing w:before="0" w:after="283"/>
              <w:jc w:val="start"/>
              <w:rPr/>
            </w:pPr>
            <w:r>
              <w:rPr/>
              <w:t xml:space="preserve">Peripheral vascular disease </w:t>
            </w:r>
          </w:p>
        </w:tc>
        <w:tc>
          <w:tcPr>
            <w:tcW w:w="876" w:type="dxa"/>
            <w:tcBorders/>
            <w:vAlign w:val="center"/>
          </w:tcPr>
          <w:p>
            <w:pPr>
              <w:pStyle w:val="TableContents"/>
              <w:bidi w:val="0"/>
              <w:spacing w:before="0" w:after="283"/>
              <w:jc w:val="start"/>
              <w:rPr/>
            </w:pPr>
            <w:r>
              <w:rPr/>
              <w:t xml:space="preserve">– </w:t>
            </w:r>
          </w:p>
        </w:tc>
        <w:tc>
          <w:tcPr>
            <w:tcW w:w="829" w:type="dxa"/>
            <w:tcBorders/>
            <w:vAlign w:val="center"/>
          </w:tcPr>
          <w:p>
            <w:pPr>
              <w:pStyle w:val="TableContents"/>
              <w:bidi w:val="0"/>
              <w:spacing w:before="0" w:after="283"/>
              <w:jc w:val="start"/>
              <w:rPr/>
            </w:pPr>
            <w:r>
              <w:rPr/>
              <w:t xml:space="preserve">3. 1 (0. 9-10. 6) </w:t>
            </w:r>
          </w:p>
        </w:tc>
        <w:tc>
          <w:tcPr>
            <w:tcW w:w="892" w:type="dxa"/>
            <w:tcBorders/>
            <w:vAlign w:val="center"/>
          </w:tcPr>
          <w:p>
            <w:pPr>
              <w:pStyle w:val="TableContents"/>
              <w:bidi w:val="0"/>
              <w:spacing w:before="0" w:after="283"/>
              <w:jc w:val="start"/>
              <w:rPr/>
            </w:pPr>
            <w:r>
              <w:rPr/>
              <w:t xml:space="preserve">0. 079 </w:t>
            </w:r>
          </w:p>
        </w:tc>
      </w:tr>
      <w:tr>
        <w:trPr/>
        <w:tc>
          <w:tcPr>
            <w:tcW w:w="1787" w:type="dxa"/>
            <w:tcBorders/>
            <w:vAlign w:val="center"/>
          </w:tcPr>
          <w:p>
            <w:pPr>
              <w:pStyle w:val="TableContents"/>
              <w:bidi w:val="0"/>
              <w:spacing w:before="0" w:after="283"/>
              <w:jc w:val="start"/>
              <w:rPr/>
            </w:pPr>
            <w:r>
              <w:rPr/>
              <w:t xml:space="preserve">Obesity (BMI&gt; 30) </w:t>
            </w:r>
          </w:p>
        </w:tc>
        <w:tc>
          <w:tcPr>
            <w:tcW w:w="876" w:type="dxa"/>
            <w:tcBorders/>
            <w:vAlign w:val="center"/>
          </w:tcPr>
          <w:p>
            <w:pPr>
              <w:pStyle w:val="TableContents"/>
              <w:bidi w:val="0"/>
              <w:spacing w:before="0" w:after="283"/>
              <w:jc w:val="start"/>
              <w:rPr/>
            </w:pPr>
            <w:r>
              <w:rPr/>
              <w:t xml:space="preserve">– </w:t>
            </w:r>
          </w:p>
        </w:tc>
        <w:tc>
          <w:tcPr>
            <w:tcW w:w="829" w:type="dxa"/>
            <w:tcBorders/>
            <w:vAlign w:val="center"/>
          </w:tcPr>
          <w:p>
            <w:pPr>
              <w:pStyle w:val="TableContents"/>
              <w:bidi w:val="0"/>
              <w:spacing w:before="0" w:after="283"/>
              <w:jc w:val="start"/>
              <w:rPr/>
            </w:pPr>
            <w:r>
              <w:rPr/>
              <w:t xml:space="preserve">0. 3 (0. 1-0. 8) </w:t>
            </w:r>
          </w:p>
        </w:tc>
        <w:tc>
          <w:tcPr>
            <w:tcW w:w="892" w:type="dxa"/>
            <w:tcBorders/>
            <w:vAlign w:val="center"/>
          </w:tcPr>
          <w:p>
            <w:pPr>
              <w:pStyle w:val="TableContents"/>
              <w:bidi w:val="0"/>
              <w:spacing w:before="0" w:after="283"/>
              <w:jc w:val="start"/>
              <w:rPr/>
            </w:pPr>
            <w:r>
              <w:rPr/>
              <w:t xml:space="preserve">0. 012 </w:t>
            </w:r>
          </w:p>
        </w:tc>
      </w:tr>
      <w:tr>
        <w:trPr/>
        <w:tc>
          <w:tcPr>
            <w:tcW w:w="1787" w:type="dxa"/>
            <w:tcBorders/>
            <w:vAlign w:val="center"/>
          </w:tcPr>
          <w:p>
            <w:pPr>
              <w:pStyle w:val="TableContents"/>
              <w:bidi w:val="0"/>
              <w:spacing w:before="0" w:after="283"/>
              <w:jc w:val="start"/>
              <w:rPr/>
            </w:pPr>
            <w:r>
              <w:rPr/>
              <w:t xml:space="preserve">Previous cellulitis </w:t>
            </w:r>
          </w:p>
        </w:tc>
        <w:tc>
          <w:tcPr>
            <w:tcW w:w="876" w:type="dxa"/>
            <w:tcBorders/>
            <w:vAlign w:val="center"/>
          </w:tcPr>
          <w:p>
            <w:pPr>
              <w:pStyle w:val="TableContents"/>
              <w:bidi w:val="0"/>
              <w:spacing w:before="0" w:after="283"/>
              <w:jc w:val="start"/>
              <w:rPr/>
            </w:pPr>
            <w:r>
              <w:rPr/>
              <w:t xml:space="preserve">– </w:t>
            </w:r>
          </w:p>
        </w:tc>
        <w:tc>
          <w:tcPr>
            <w:tcW w:w="829" w:type="dxa"/>
            <w:tcBorders/>
            <w:vAlign w:val="center"/>
          </w:tcPr>
          <w:p>
            <w:pPr>
              <w:pStyle w:val="TableContents"/>
              <w:bidi w:val="0"/>
              <w:spacing w:before="0" w:after="283"/>
              <w:jc w:val="start"/>
              <w:rPr/>
            </w:pPr>
            <w:r>
              <w:rPr/>
              <w:t xml:space="preserve">0. 3 (0. 1-1. 0) </w:t>
            </w:r>
          </w:p>
        </w:tc>
        <w:tc>
          <w:tcPr>
            <w:tcW w:w="892" w:type="dxa"/>
            <w:tcBorders/>
            <w:vAlign w:val="center"/>
          </w:tcPr>
          <w:p>
            <w:pPr>
              <w:pStyle w:val="TableContents"/>
              <w:bidi w:val="0"/>
              <w:spacing w:before="0" w:after="283"/>
              <w:jc w:val="start"/>
              <w:rPr/>
            </w:pPr>
            <w:r>
              <w:rPr/>
              <w:t xml:space="preserve">0. 044 </w:t>
            </w:r>
          </w:p>
        </w:tc>
      </w:tr>
      <w:tr>
        <w:trPr/>
        <w:tc>
          <w:tcPr>
            <w:tcW w:w="1787" w:type="dxa"/>
            <w:tcBorders/>
            <w:vAlign w:val="center"/>
          </w:tcPr>
          <w:p>
            <w:pPr>
              <w:pStyle w:val="TableContents"/>
              <w:bidi w:val="0"/>
              <w:spacing w:before="0" w:after="283"/>
              <w:jc w:val="start"/>
              <w:rPr/>
            </w:pPr>
            <w:r>
              <w:rPr/>
              <w:t xml:space="preserve">Tinea pedis </w:t>
            </w:r>
          </w:p>
        </w:tc>
        <w:tc>
          <w:tcPr>
            <w:tcW w:w="876" w:type="dxa"/>
            <w:tcBorders/>
            <w:vAlign w:val="center"/>
          </w:tcPr>
          <w:p>
            <w:pPr>
              <w:pStyle w:val="TableContents"/>
              <w:bidi w:val="0"/>
              <w:spacing w:before="0" w:after="283"/>
              <w:jc w:val="start"/>
              <w:rPr/>
            </w:pPr>
            <w:r>
              <w:rPr/>
              <w:t xml:space="preserve">– </w:t>
            </w:r>
          </w:p>
        </w:tc>
        <w:tc>
          <w:tcPr>
            <w:tcW w:w="829" w:type="dxa"/>
            <w:tcBorders/>
            <w:vAlign w:val="center"/>
          </w:tcPr>
          <w:p>
            <w:pPr>
              <w:pStyle w:val="TableContents"/>
              <w:bidi w:val="0"/>
              <w:spacing w:before="0" w:after="283"/>
              <w:jc w:val="start"/>
              <w:rPr/>
            </w:pPr>
            <w:r>
              <w:rPr/>
              <w:t xml:space="preserve">0. 9 (0. 2-4. 1) </w:t>
            </w:r>
          </w:p>
        </w:tc>
        <w:tc>
          <w:tcPr>
            <w:tcW w:w="892" w:type="dxa"/>
            <w:tcBorders/>
            <w:vAlign w:val="center"/>
          </w:tcPr>
          <w:p>
            <w:pPr>
              <w:pStyle w:val="TableContents"/>
              <w:bidi w:val="0"/>
              <w:spacing w:before="0" w:after="283"/>
              <w:jc w:val="start"/>
              <w:rPr/>
            </w:pPr>
            <w:r>
              <w:rPr/>
              <w:t xml:space="preserve">0. 930 </w:t>
            </w:r>
          </w:p>
        </w:tc>
      </w:tr>
      <w:tr>
        <w:trPr/>
        <w:tc>
          <w:tcPr>
            <w:tcW w:w="1787" w:type="dxa"/>
            <w:tcBorders/>
            <w:vAlign w:val="center"/>
          </w:tcPr>
          <w:p>
            <w:pPr>
              <w:pStyle w:val="TableContents"/>
              <w:bidi w:val="0"/>
              <w:spacing w:before="0" w:after="283"/>
              <w:jc w:val="start"/>
              <w:rPr/>
            </w:pPr>
            <w:r>
              <w:rPr/>
              <w:t xml:space="preserve">Venous dermatitis </w:t>
            </w:r>
          </w:p>
        </w:tc>
        <w:tc>
          <w:tcPr>
            <w:tcW w:w="876" w:type="dxa"/>
            <w:tcBorders/>
            <w:vAlign w:val="center"/>
          </w:tcPr>
          <w:p>
            <w:pPr>
              <w:pStyle w:val="TableContents"/>
              <w:bidi w:val="0"/>
              <w:spacing w:before="0" w:after="283"/>
              <w:jc w:val="start"/>
              <w:rPr/>
            </w:pPr>
            <w:r>
              <w:rPr/>
              <w:t xml:space="preserve">– </w:t>
            </w:r>
          </w:p>
        </w:tc>
        <w:tc>
          <w:tcPr>
            <w:tcW w:w="829" w:type="dxa"/>
            <w:tcBorders/>
            <w:vAlign w:val="center"/>
          </w:tcPr>
          <w:p>
            <w:pPr>
              <w:pStyle w:val="TableContents"/>
              <w:bidi w:val="0"/>
              <w:spacing w:before="0" w:after="283"/>
              <w:jc w:val="start"/>
              <w:rPr/>
            </w:pPr>
            <w:r>
              <w:rPr/>
              <w:t xml:space="preserve">0. 5 (0. 1-2. 0) </w:t>
            </w:r>
          </w:p>
        </w:tc>
        <w:tc>
          <w:tcPr>
            <w:tcW w:w="892" w:type="dxa"/>
            <w:tcBorders/>
            <w:vAlign w:val="center"/>
          </w:tcPr>
          <w:p>
            <w:pPr>
              <w:pStyle w:val="TableContents"/>
              <w:bidi w:val="0"/>
              <w:spacing w:before="0" w:after="283"/>
              <w:jc w:val="start"/>
              <w:rPr/>
            </w:pPr>
            <w:r>
              <w:rPr/>
              <w:t xml:space="preserve">0. 302 </w:t>
            </w:r>
          </w:p>
        </w:tc>
      </w:tr>
      <w:tr>
        <w:trPr/>
        <w:tc>
          <w:tcPr>
            <w:tcW w:w="1787" w:type="dxa"/>
            <w:tcBorders/>
            <w:vAlign w:val="center"/>
          </w:tcPr>
          <w:p>
            <w:pPr>
              <w:pStyle w:val="TableContents"/>
              <w:bidi w:val="0"/>
              <w:spacing w:before="0" w:after="283"/>
              <w:jc w:val="start"/>
              <w:rPr/>
            </w:pPr>
            <w:r>
              <w:rPr/>
              <w:t xml:space="preserve">Comorbidities </w:t>
            </w:r>
          </w:p>
        </w:tc>
        <w:tc>
          <w:tcPr>
            <w:tcW w:w="876" w:type="dxa"/>
            <w:tcBorders/>
            <w:vAlign w:val="center"/>
          </w:tcPr>
          <w:p>
            <w:pPr>
              <w:pStyle w:val="TableContents"/>
              <w:bidi w:val="0"/>
              <w:spacing w:before="0" w:after="283"/>
              <w:jc w:val="start"/>
              <w:rPr>
                <w:sz w:val="4"/>
                <w:szCs w:val="4"/>
              </w:rPr>
            </w:pPr>
            <w:r>
              <w:rPr>
                <w:sz w:val="4"/>
                <w:szCs w:val="4"/>
              </w:rPr>
            </w:r>
          </w:p>
        </w:tc>
        <w:tc>
          <w:tcPr>
            <w:tcW w:w="829" w:type="dxa"/>
            <w:tcBorders/>
            <w:vAlign w:val="center"/>
          </w:tcPr>
          <w:p>
            <w:pPr>
              <w:pStyle w:val="TableContents"/>
              <w:bidi w:val="0"/>
              <w:spacing w:before="0" w:after="283"/>
              <w:jc w:val="start"/>
              <w:rPr>
                <w:sz w:val="4"/>
                <w:szCs w:val="4"/>
              </w:rPr>
            </w:pPr>
            <w:r>
              <w:rPr>
                <w:sz w:val="4"/>
                <w:szCs w:val="4"/>
              </w:rPr>
            </w:r>
          </w:p>
        </w:tc>
        <w:tc>
          <w:tcPr>
            <w:tcW w:w="892" w:type="dxa"/>
            <w:tcBorders/>
            <w:vAlign w:val="center"/>
          </w:tcPr>
          <w:p>
            <w:pPr>
              <w:pStyle w:val="TableContents"/>
              <w:bidi w:val="0"/>
              <w:spacing w:before="0" w:after="283"/>
              <w:jc w:val="start"/>
              <w:rPr>
                <w:sz w:val="4"/>
                <w:szCs w:val="4"/>
              </w:rPr>
            </w:pPr>
            <w:r>
              <w:rPr>
                <w:sz w:val="4"/>
                <w:szCs w:val="4"/>
              </w:rPr>
            </w:r>
          </w:p>
        </w:tc>
      </w:tr>
      <w:tr>
        <w:trPr/>
        <w:tc>
          <w:tcPr>
            <w:tcW w:w="1787" w:type="dxa"/>
            <w:tcBorders/>
            <w:vAlign w:val="center"/>
          </w:tcPr>
          <w:p>
            <w:pPr>
              <w:pStyle w:val="TableContents"/>
              <w:bidi w:val="0"/>
              <w:spacing w:before="0" w:after="283"/>
              <w:jc w:val="start"/>
              <w:rPr/>
            </w:pPr>
            <w:r>
              <w:rPr/>
              <w:t xml:space="preserve">Diabetes </w:t>
            </w:r>
          </w:p>
        </w:tc>
        <w:tc>
          <w:tcPr>
            <w:tcW w:w="876" w:type="dxa"/>
            <w:tcBorders/>
            <w:vAlign w:val="center"/>
          </w:tcPr>
          <w:p>
            <w:pPr>
              <w:pStyle w:val="TableContents"/>
              <w:bidi w:val="0"/>
              <w:spacing w:before="0" w:after="283"/>
              <w:jc w:val="start"/>
              <w:rPr/>
            </w:pPr>
            <w:r>
              <w:rPr/>
              <w:t xml:space="preserve">23 (31. 9%) </w:t>
            </w:r>
          </w:p>
        </w:tc>
        <w:tc>
          <w:tcPr>
            <w:tcW w:w="829" w:type="dxa"/>
            <w:tcBorders/>
            <w:vAlign w:val="center"/>
          </w:tcPr>
          <w:p>
            <w:pPr>
              <w:pStyle w:val="TableContents"/>
              <w:bidi w:val="0"/>
              <w:spacing w:before="0" w:after="283"/>
              <w:jc w:val="start"/>
              <w:rPr/>
            </w:pPr>
            <w:r>
              <w:rPr/>
              <w:t xml:space="preserve">6 (19. 4%) </w:t>
            </w:r>
          </w:p>
        </w:tc>
        <w:tc>
          <w:tcPr>
            <w:tcW w:w="892" w:type="dxa"/>
            <w:tcBorders/>
            <w:vAlign w:val="center"/>
          </w:tcPr>
          <w:p>
            <w:pPr>
              <w:pStyle w:val="TableContents"/>
              <w:bidi w:val="0"/>
              <w:spacing w:before="0" w:after="283"/>
              <w:jc w:val="start"/>
              <w:rPr/>
            </w:pPr>
            <w:r>
              <w:rPr/>
              <w:t xml:space="preserve">0. 24 </w:t>
            </w:r>
          </w:p>
        </w:tc>
      </w:tr>
      <w:tr>
        <w:trPr/>
        <w:tc>
          <w:tcPr>
            <w:tcW w:w="1787" w:type="dxa"/>
            <w:tcBorders/>
            <w:vAlign w:val="center"/>
          </w:tcPr>
          <w:p>
            <w:pPr>
              <w:pStyle w:val="TableContents"/>
              <w:bidi w:val="0"/>
              <w:spacing w:before="0" w:after="283"/>
              <w:jc w:val="start"/>
              <w:rPr/>
            </w:pPr>
            <w:r>
              <w:rPr/>
              <w:t xml:space="preserve">Hypertension </w:t>
            </w:r>
          </w:p>
        </w:tc>
        <w:tc>
          <w:tcPr>
            <w:tcW w:w="876" w:type="dxa"/>
            <w:tcBorders/>
            <w:vAlign w:val="center"/>
          </w:tcPr>
          <w:p>
            <w:pPr>
              <w:pStyle w:val="TableContents"/>
              <w:bidi w:val="0"/>
              <w:spacing w:before="0" w:after="283"/>
              <w:jc w:val="start"/>
              <w:rPr/>
            </w:pPr>
            <w:r>
              <w:rPr/>
              <w:t xml:space="preserve">16 (23. 2%) </w:t>
            </w:r>
          </w:p>
        </w:tc>
        <w:tc>
          <w:tcPr>
            <w:tcW w:w="829" w:type="dxa"/>
            <w:tcBorders/>
            <w:vAlign w:val="center"/>
          </w:tcPr>
          <w:p>
            <w:pPr>
              <w:pStyle w:val="TableContents"/>
              <w:bidi w:val="0"/>
              <w:spacing w:before="0" w:after="283"/>
              <w:jc w:val="start"/>
              <w:rPr/>
            </w:pPr>
            <w:r>
              <w:rPr/>
              <w:t xml:space="preserve">14 (45. 2%) </w:t>
            </w:r>
          </w:p>
        </w:tc>
        <w:tc>
          <w:tcPr>
            <w:tcW w:w="892" w:type="dxa"/>
            <w:tcBorders/>
            <w:vAlign w:val="center"/>
          </w:tcPr>
          <w:p>
            <w:pPr>
              <w:pStyle w:val="TableContents"/>
              <w:bidi w:val="0"/>
              <w:spacing w:before="0" w:after="283"/>
              <w:jc w:val="start"/>
              <w:rPr/>
            </w:pPr>
            <w:r>
              <w:rPr/>
              <w:t xml:space="preserve">0. 035 </w:t>
            </w:r>
          </w:p>
        </w:tc>
      </w:tr>
      <w:tr>
        <w:trPr/>
        <w:tc>
          <w:tcPr>
            <w:tcW w:w="1787" w:type="dxa"/>
            <w:tcBorders/>
            <w:vAlign w:val="center"/>
          </w:tcPr>
          <w:p>
            <w:pPr>
              <w:pStyle w:val="TableContents"/>
              <w:bidi w:val="0"/>
              <w:spacing w:before="0" w:after="283"/>
              <w:jc w:val="start"/>
              <w:rPr/>
            </w:pPr>
            <w:r>
              <w:rPr/>
              <w:t xml:space="preserve">IHD </w:t>
            </w:r>
          </w:p>
        </w:tc>
        <w:tc>
          <w:tcPr>
            <w:tcW w:w="876" w:type="dxa"/>
            <w:tcBorders/>
            <w:vAlign w:val="center"/>
          </w:tcPr>
          <w:p>
            <w:pPr>
              <w:pStyle w:val="TableContents"/>
              <w:bidi w:val="0"/>
              <w:spacing w:before="0" w:after="283"/>
              <w:jc w:val="start"/>
              <w:rPr/>
            </w:pPr>
            <w:r>
              <w:rPr/>
              <w:t xml:space="preserve">11 (15. 9%) </w:t>
            </w:r>
          </w:p>
        </w:tc>
        <w:tc>
          <w:tcPr>
            <w:tcW w:w="829" w:type="dxa"/>
            <w:tcBorders/>
            <w:vAlign w:val="center"/>
          </w:tcPr>
          <w:p>
            <w:pPr>
              <w:pStyle w:val="TableContents"/>
              <w:bidi w:val="0"/>
              <w:spacing w:before="0" w:after="283"/>
              <w:jc w:val="start"/>
              <w:rPr/>
            </w:pPr>
            <w:r>
              <w:rPr/>
              <w:t xml:space="preserve">10 (32. 3%) </w:t>
            </w:r>
          </w:p>
        </w:tc>
        <w:tc>
          <w:tcPr>
            <w:tcW w:w="892" w:type="dxa"/>
            <w:tcBorders/>
            <w:vAlign w:val="center"/>
          </w:tcPr>
          <w:p>
            <w:pPr>
              <w:pStyle w:val="TableContents"/>
              <w:bidi w:val="0"/>
              <w:spacing w:before="0" w:after="283"/>
              <w:jc w:val="start"/>
              <w:rPr/>
            </w:pPr>
            <w:r>
              <w:rPr/>
              <w:t xml:space="preserve">0. 11 </w:t>
            </w:r>
          </w:p>
        </w:tc>
      </w:tr>
      <w:tr>
        <w:trPr/>
        <w:tc>
          <w:tcPr>
            <w:tcW w:w="1787" w:type="dxa"/>
            <w:tcBorders/>
            <w:vAlign w:val="center"/>
          </w:tcPr>
          <w:p>
            <w:pPr>
              <w:pStyle w:val="TableContents"/>
              <w:bidi w:val="0"/>
              <w:spacing w:before="0" w:after="283"/>
              <w:jc w:val="start"/>
              <w:rPr/>
            </w:pPr>
            <w:r>
              <w:rPr/>
              <w:t xml:space="preserve">CCF </w:t>
            </w:r>
          </w:p>
        </w:tc>
        <w:tc>
          <w:tcPr>
            <w:tcW w:w="876" w:type="dxa"/>
            <w:tcBorders/>
            <w:vAlign w:val="center"/>
          </w:tcPr>
          <w:p>
            <w:pPr>
              <w:pStyle w:val="TableContents"/>
              <w:bidi w:val="0"/>
              <w:spacing w:before="0" w:after="283"/>
              <w:jc w:val="start"/>
              <w:rPr/>
            </w:pPr>
            <w:r>
              <w:rPr/>
              <w:t xml:space="preserve">10 (14. 5%) </w:t>
            </w:r>
          </w:p>
        </w:tc>
        <w:tc>
          <w:tcPr>
            <w:tcW w:w="829" w:type="dxa"/>
            <w:tcBorders/>
            <w:vAlign w:val="center"/>
          </w:tcPr>
          <w:p>
            <w:pPr>
              <w:pStyle w:val="TableContents"/>
              <w:bidi w:val="0"/>
              <w:spacing w:before="0" w:after="283"/>
              <w:jc w:val="start"/>
              <w:rPr/>
            </w:pPr>
            <w:r>
              <w:rPr/>
              <w:t xml:space="preserve">9 (29. 0%) </w:t>
            </w:r>
          </w:p>
        </w:tc>
        <w:tc>
          <w:tcPr>
            <w:tcW w:w="892" w:type="dxa"/>
            <w:tcBorders/>
            <w:vAlign w:val="center"/>
          </w:tcPr>
          <w:p>
            <w:pPr>
              <w:pStyle w:val="TableContents"/>
              <w:bidi w:val="0"/>
              <w:spacing w:before="0" w:after="283"/>
              <w:jc w:val="start"/>
              <w:rPr/>
            </w:pPr>
            <w:r>
              <w:rPr/>
              <w:t xml:space="preserve">0. 10 </w:t>
            </w:r>
          </w:p>
        </w:tc>
      </w:tr>
      <w:tr>
        <w:trPr/>
        <w:tc>
          <w:tcPr>
            <w:tcW w:w="1787" w:type="dxa"/>
            <w:tcBorders/>
            <w:vAlign w:val="center"/>
          </w:tcPr>
          <w:p>
            <w:pPr>
              <w:pStyle w:val="TableContents"/>
              <w:bidi w:val="0"/>
              <w:spacing w:before="0" w:after="283"/>
              <w:jc w:val="start"/>
              <w:rPr/>
            </w:pPr>
            <w:r>
              <w:rPr/>
              <w:t xml:space="preserve">AF </w:t>
            </w:r>
          </w:p>
        </w:tc>
        <w:tc>
          <w:tcPr>
            <w:tcW w:w="876" w:type="dxa"/>
            <w:tcBorders/>
            <w:vAlign w:val="center"/>
          </w:tcPr>
          <w:p>
            <w:pPr>
              <w:pStyle w:val="TableContents"/>
              <w:bidi w:val="0"/>
              <w:spacing w:before="0" w:after="283"/>
              <w:jc w:val="start"/>
              <w:rPr/>
            </w:pPr>
            <w:r>
              <w:rPr/>
              <w:t xml:space="preserve">4 (5. 8%) </w:t>
            </w:r>
          </w:p>
        </w:tc>
        <w:tc>
          <w:tcPr>
            <w:tcW w:w="829" w:type="dxa"/>
            <w:tcBorders/>
            <w:vAlign w:val="center"/>
          </w:tcPr>
          <w:p>
            <w:pPr>
              <w:pStyle w:val="TableContents"/>
              <w:bidi w:val="0"/>
              <w:spacing w:before="0" w:after="283"/>
              <w:jc w:val="start"/>
              <w:rPr/>
            </w:pPr>
            <w:r>
              <w:rPr/>
              <w:t xml:space="preserve">11 (33. 5%) </w:t>
            </w:r>
          </w:p>
        </w:tc>
        <w:tc>
          <w:tcPr>
            <w:tcW w:w="892" w:type="dxa"/>
            <w:tcBorders/>
            <w:vAlign w:val="center"/>
          </w:tcPr>
          <w:p>
            <w:pPr>
              <w:pStyle w:val="TableContents"/>
              <w:bidi w:val="0"/>
              <w:spacing w:before="0" w:after="283"/>
              <w:jc w:val="start"/>
              <w:rPr/>
            </w:pPr>
            <w:r>
              <w:rPr/>
              <w:t xml:space="preserve">&lt; 0. 001 </w:t>
            </w:r>
          </w:p>
        </w:tc>
      </w:tr>
      <w:tr>
        <w:trPr/>
        <w:tc>
          <w:tcPr>
            <w:tcW w:w="1787" w:type="dxa"/>
            <w:tcBorders/>
            <w:vAlign w:val="center"/>
          </w:tcPr>
          <w:p>
            <w:pPr>
              <w:pStyle w:val="TableContents"/>
              <w:bidi w:val="0"/>
              <w:spacing w:before="0" w:after="283"/>
              <w:jc w:val="start"/>
              <w:rPr/>
            </w:pPr>
            <w:r>
              <w:rPr/>
              <w:t xml:space="preserve">Dementia </w:t>
            </w:r>
          </w:p>
        </w:tc>
        <w:tc>
          <w:tcPr>
            <w:tcW w:w="876" w:type="dxa"/>
            <w:tcBorders/>
            <w:vAlign w:val="center"/>
          </w:tcPr>
          <w:p>
            <w:pPr>
              <w:pStyle w:val="TableContents"/>
              <w:bidi w:val="0"/>
              <w:spacing w:before="0" w:after="283"/>
              <w:jc w:val="start"/>
              <w:rPr/>
            </w:pPr>
            <w:r>
              <w:rPr/>
              <w:t xml:space="preserve">1 (1. 4%) </w:t>
            </w:r>
          </w:p>
        </w:tc>
        <w:tc>
          <w:tcPr>
            <w:tcW w:w="829" w:type="dxa"/>
            <w:tcBorders/>
            <w:vAlign w:val="center"/>
          </w:tcPr>
          <w:p>
            <w:pPr>
              <w:pStyle w:val="TableContents"/>
              <w:bidi w:val="0"/>
              <w:spacing w:before="0" w:after="283"/>
              <w:jc w:val="start"/>
              <w:rPr/>
            </w:pPr>
            <w:r>
              <w:rPr/>
              <w:t xml:space="preserve">7 (22. 6%) </w:t>
            </w:r>
          </w:p>
        </w:tc>
        <w:tc>
          <w:tcPr>
            <w:tcW w:w="892" w:type="dxa"/>
            <w:tcBorders/>
            <w:vAlign w:val="center"/>
          </w:tcPr>
          <w:p>
            <w:pPr>
              <w:pStyle w:val="TableContents"/>
              <w:bidi w:val="0"/>
              <w:spacing w:before="0" w:after="283"/>
              <w:jc w:val="start"/>
              <w:rPr/>
            </w:pPr>
            <w:r>
              <w:rPr/>
              <w:t xml:space="preserve">0. 001 </w:t>
            </w:r>
          </w:p>
        </w:tc>
      </w:tr>
      <w:tr>
        <w:trPr/>
        <w:tc>
          <w:tcPr>
            <w:tcW w:w="1787" w:type="dxa"/>
            <w:tcBorders/>
            <w:vAlign w:val="center"/>
          </w:tcPr>
          <w:p>
            <w:pPr>
              <w:pStyle w:val="TableContents"/>
              <w:bidi w:val="0"/>
              <w:spacing w:before="0" w:after="283"/>
              <w:jc w:val="start"/>
              <w:rPr/>
            </w:pPr>
            <w:r>
              <w:rPr/>
              <w:t xml:space="preserve">Malignancy </w:t>
            </w:r>
          </w:p>
        </w:tc>
        <w:tc>
          <w:tcPr>
            <w:tcW w:w="876" w:type="dxa"/>
            <w:tcBorders/>
            <w:vAlign w:val="center"/>
          </w:tcPr>
          <w:p>
            <w:pPr>
              <w:pStyle w:val="TableContents"/>
              <w:bidi w:val="0"/>
              <w:spacing w:before="0" w:after="283"/>
              <w:jc w:val="start"/>
              <w:rPr/>
            </w:pPr>
            <w:r>
              <w:rPr/>
              <w:t xml:space="preserve">1 (1. 4%) </w:t>
            </w:r>
          </w:p>
        </w:tc>
        <w:tc>
          <w:tcPr>
            <w:tcW w:w="829" w:type="dxa"/>
            <w:tcBorders/>
            <w:vAlign w:val="center"/>
          </w:tcPr>
          <w:p>
            <w:pPr>
              <w:pStyle w:val="TableContents"/>
              <w:bidi w:val="0"/>
              <w:spacing w:before="0" w:after="283"/>
              <w:jc w:val="start"/>
              <w:rPr/>
            </w:pPr>
            <w:r>
              <w:rPr/>
              <w:t xml:space="preserve">5 (16. 1%) </w:t>
            </w:r>
          </w:p>
        </w:tc>
        <w:tc>
          <w:tcPr>
            <w:tcW w:w="892" w:type="dxa"/>
            <w:tcBorders/>
            <w:vAlign w:val="center"/>
          </w:tcPr>
          <w:p>
            <w:pPr>
              <w:pStyle w:val="TableContents"/>
              <w:bidi w:val="0"/>
              <w:spacing w:before="0" w:after="283"/>
              <w:jc w:val="start"/>
              <w:rPr/>
            </w:pPr>
            <w:r>
              <w:rPr/>
              <w:t xml:space="preserve">0. 010 </w:t>
            </w:r>
          </w:p>
        </w:tc>
      </w:tr>
      <w:tr>
        <w:trPr/>
        <w:tc>
          <w:tcPr>
            <w:tcW w:w="1787" w:type="dxa"/>
            <w:tcBorders/>
            <w:vAlign w:val="center"/>
          </w:tcPr>
          <w:p>
            <w:pPr>
              <w:pStyle w:val="TableContents"/>
              <w:bidi w:val="0"/>
              <w:spacing w:before="0" w:after="283"/>
              <w:jc w:val="start"/>
              <w:rPr/>
            </w:pPr>
            <w:r>
              <w:rPr/>
              <w:t xml:space="preserve">DVT </w:t>
            </w:r>
          </w:p>
        </w:tc>
        <w:tc>
          <w:tcPr>
            <w:tcW w:w="876" w:type="dxa"/>
            <w:tcBorders/>
            <w:vAlign w:val="center"/>
          </w:tcPr>
          <w:p>
            <w:pPr>
              <w:pStyle w:val="TableContents"/>
              <w:bidi w:val="0"/>
              <w:spacing w:before="0" w:after="283"/>
              <w:jc w:val="start"/>
              <w:rPr/>
            </w:pPr>
            <w:r>
              <w:rPr/>
              <w:t xml:space="preserve">3 (4. 3%) </w:t>
            </w:r>
          </w:p>
        </w:tc>
        <w:tc>
          <w:tcPr>
            <w:tcW w:w="829" w:type="dxa"/>
            <w:tcBorders/>
            <w:vAlign w:val="center"/>
          </w:tcPr>
          <w:p>
            <w:pPr>
              <w:pStyle w:val="TableContents"/>
              <w:bidi w:val="0"/>
              <w:spacing w:before="0" w:after="283"/>
              <w:jc w:val="start"/>
              <w:rPr/>
            </w:pPr>
            <w:r>
              <w:rPr/>
              <w:t xml:space="preserve">5 (16. 1%) </w:t>
            </w:r>
          </w:p>
        </w:tc>
        <w:tc>
          <w:tcPr>
            <w:tcW w:w="892" w:type="dxa"/>
            <w:tcBorders/>
            <w:vAlign w:val="center"/>
          </w:tcPr>
          <w:p>
            <w:pPr>
              <w:pStyle w:val="TableContents"/>
              <w:bidi w:val="0"/>
              <w:spacing w:before="0" w:after="283"/>
              <w:jc w:val="start"/>
              <w:rPr/>
            </w:pPr>
            <w:r>
              <w:rPr/>
              <w:t xml:space="preserve">0. 10 </w:t>
            </w:r>
          </w:p>
        </w:tc>
      </w:tr>
      <w:tr>
        <w:trPr/>
        <w:tc>
          <w:tcPr>
            <w:tcW w:w="1787" w:type="dxa"/>
            <w:tcBorders/>
            <w:vAlign w:val="center"/>
          </w:tcPr>
          <w:p>
            <w:pPr>
              <w:pStyle w:val="TableContents"/>
              <w:bidi w:val="0"/>
              <w:spacing w:before="0" w:after="283"/>
              <w:jc w:val="start"/>
              <w:rPr/>
            </w:pPr>
            <w:r>
              <w:rPr/>
              <w:t xml:space="preserve">PE </w:t>
            </w:r>
          </w:p>
        </w:tc>
        <w:tc>
          <w:tcPr>
            <w:tcW w:w="876" w:type="dxa"/>
            <w:tcBorders/>
            <w:vAlign w:val="center"/>
          </w:tcPr>
          <w:p>
            <w:pPr>
              <w:pStyle w:val="TableContents"/>
              <w:bidi w:val="0"/>
              <w:spacing w:before="0" w:after="283"/>
              <w:jc w:val="start"/>
              <w:rPr/>
            </w:pPr>
            <w:r>
              <w:rPr/>
              <w:t xml:space="preserve">2 (2. 9%) </w:t>
            </w:r>
          </w:p>
        </w:tc>
        <w:tc>
          <w:tcPr>
            <w:tcW w:w="829" w:type="dxa"/>
            <w:tcBorders/>
            <w:vAlign w:val="center"/>
          </w:tcPr>
          <w:p>
            <w:pPr>
              <w:pStyle w:val="TableContents"/>
              <w:bidi w:val="0"/>
              <w:spacing w:before="0" w:after="283"/>
              <w:jc w:val="start"/>
              <w:rPr/>
            </w:pPr>
            <w:r>
              <w:rPr/>
              <w:t xml:space="preserve">5 (16. 1%) </w:t>
            </w:r>
          </w:p>
        </w:tc>
        <w:tc>
          <w:tcPr>
            <w:tcW w:w="892" w:type="dxa"/>
            <w:tcBorders/>
            <w:vAlign w:val="center"/>
          </w:tcPr>
          <w:p>
            <w:pPr>
              <w:pStyle w:val="TableContents"/>
              <w:bidi w:val="0"/>
              <w:spacing w:before="0" w:after="283"/>
              <w:jc w:val="start"/>
              <w:rPr/>
            </w:pPr>
            <w:r>
              <w:rPr/>
              <w:t xml:space="preserve">0. 072 </w:t>
            </w:r>
          </w:p>
        </w:tc>
      </w:tr>
      <w:tr>
        <w:trPr/>
        <w:tc>
          <w:tcPr>
            <w:tcW w:w="1787" w:type="dxa"/>
            <w:tcBorders/>
            <w:vAlign w:val="center"/>
          </w:tcPr>
          <w:p>
            <w:pPr>
              <w:pStyle w:val="TableContents"/>
              <w:bidi w:val="0"/>
              <w:spacing w:before="0" w:after="283"/>
              <w:jc w:val="start"/>
              <w:rPr/>
            </w:pPr>
            <w:r>
              <w:rPr/>
              <w:t xml:space="preserve">Steroid use last 3 months </w:t>
            </w:r>
          </w:p>
        </w:tc>
        <w:tc>
          <w:tcPr>
            <w:tcW w:w="876" w:type="dxa"/>
            <w:tcBorders/>
            <w:vAlign w:val="center"/>
          </w:tcPr>
          <w:p>
            <w:pPr>
              <w:pStyle w:val="TableContents"/>
              <w:bidi w:val="0"/>
              <w:spacing w:before="0" w:after="283"/>
              <w:jc w:val="start"/>
              <w:rPr/>
            </w:pPr>
            <w:r>
              <w:rPr/>
              <w:t xml:space="preserve">3 (4. 3%) </w:t>
            </w:r>
          </w:p>
        </w:tc>
        <w:tc>
          <w:tcPr>
            <w:tcW w:w="829" w:type="dxa"/>
            <w:tcBorders/>
            <w:vAlign w:val="center"/>
          </w:tcPr>
          <w:p>
            <w:pPr>
              <w:pStyle w:val="TableContents"/>
              <w:bidi w:val="0"/>
              <w:spacing w:before="0" w:after="283"/>
              <w:jc w:val="start"/>
              <w:rPr/>
            </w:pPr>
            <w:r>
              <w:rPr/>
              <w:t xml:space="preserve">3 (9. 7%) </w:t>
            </w:r>
          </w:p>
        </w:tc>
        <w:tc>
          <w:tcPr>
            <w:tcW w:w="892" w:type="dxa"/>
            <w:tcBorders/>
            <w:vAlign w:val="center"/>
          </w:tcPr>
          <w:p>
            <w:pPr>
              <w:pStyle w:val="TableContents"/>
              <w:bidi w:val="0"/>
              <w:spacing w:before="0" w:after="283"/>
              <w:jc w:val="start"/>
              <w:rPr/>
            </w:pPr>
            <w:r>
              <w:rPr/>
              <w:t xml:space="preserve">0. 37 </w:t>
            </w:r>
          </w:p>
        </w:tc>
      </w:tr>
      <w:tr>
        <w:trPr/>
        <w:tc>
          <w:tcPr>
            <w:tcW w:w="1787" w:type="dxa"/>
            <w:tcBorders/>
            <w:vAlign w:val="center"/>
          </w:tcPr>
          <w:p>
            <w:pPr>
              <w:pStyle w:val="TableContents"/>
              <w:bidi w:val="0"/>
              <w:spacing w:before="0" w:after="283"/>
              <w:jc w:val="start"/>
              <w:rPr/>
            </w:pPr>
            <w:r>
              <w:rPr/>
              <w:t xml:space="preserve">Duration of symptoms median (IQR) </w:t>
            </w:r>
          </w:p>
        </w:tc>
        <w:tc>
          <w:tcPr>
            <w:tcW w:w="876" w:type="dxa"/>
            <w:tcBorders/>
            <w:vAlign w:val="center"/>
          </w:tcPr>
          <w:p>
            <w:pPr>
              <w:pStyle w:val="TableContents"/>
              <w:bidi w:val="0"/>
              <w:spacing w:before="0" w:after="283"/>
              <w:jc w:val="start"/>
              <w:rPr/>
            </w:pPr>
            <w:r>
              <w:rPr/>
              <w:t xml:space="preserve">3. 0 (2. 0 – 6. 0) </w:t>
            </w:r>
          </w:p>
        </w:tc>
        <w:tc>
          <w:tcPr>
            <w:tcW w:w="829" w:type="dxa"/>
            <w:tcBorders/>
            <w:vAlign w:val="center"/>
          </w:tcPr>
          <w:p>
            <w:pPr>
              <w:pStyle w:val="TableContents"/>
              <w:bidi w:val="0"/>
              <w:spacing w:before="0" w:after="283"/>
              <w:jc w:val="start"/>
              <w:rPr/>
            </w:pPr>
            <w:r>
              <w:rPr/>
              <w:t xml:space="preserve">4. 0 (2. 0 – 14. 0) </w:t>
            </w:r>
          </w:p>
        </w:tc>
        <w:tc>
          <w:tcPr>
            <w:tcW w:w="892" w:type="dxa"/>
            <w:tcBorders/>
            <w:vAlign w:val="center"/>
          </w:tcPr>
          <w:p>
            <w:pPr>
              <w:pStyle w:val="TableContents"/>
              <w:bidi w:val="0"/>
              <w:spacing w:before="0" w:after="283"/>
              <w:jc w:val="start"/>
              <w:rPr/>
            </w:pPr>
            <w:r>
              <w:rPr/>
              <w:t xml:space="preserve">0. 23 </w:t>
            </w:r>
          </w:p>
        </w:tc>
      </w:tr>
      <w:tr>
        <w:trPr/>
        <w:tc>
          <w:tcPr>
            <w:tcW w:w="1787" w:type="dxa"/>
            <w:tcBorders/>
            <w:vAlign w:val="center"/>
          </w:tcPr>
          <w:p>
            <w:pPr>
              <w:pStyle w:val="TableContents"/>
              <w:bidi w:val="0"/>
              <w:spacing w:before="0" w:after="283"/>
              <w:jc w:val="start"/>
              <w:rPr/>
            </w:pPr>
            <w:r>
              <w:rPr/>
              <w:t xml:space="preserve">Fever and chills </w:t>
            </w:r>
          </w:p>
        </w:tc>
        <w:tc>
          <w:tcPr>
            <w:tcW w:w="876" w:type="dxa"/>
            <w:tcBorders/>
            <w:vAlign w:val="center"/>
          </w:tcPr>
          <w:p>
            <w:pPr>
              <w:pStyle w:val="TableContents"/>
              <w:bidi w:val="0"/>
              <w:spacing w:before="0" w:after="283"/>
              <w:jc w:val="start"/>
              <w:rPr/>
            </w:pPr>
            <w:r>
              <w:rPr/>
              <w:t xml:space="preserve">19 (27. 5%) </w:t>
            </w:r>
          </w:p>
        </w:tc>
        <w:tc>
          <w:tcPr>
            <w:tcW w:w="829" w:type="dxa"/>
            <w:tcBorders/>
            <w:vAlign w:val="center"/>
          </w:tcPr>
          <w:p>
            <w:pPr>
              <w:pStyle w:val="TableContents"/>
              <w:bidi w:val="0"/>
              <w:spacing w:before="0" w:after="283"/>
              <w:jc w:val="start"/>
              <w:rPr/>
            </w:pPr>
            <w:r>
              <w:rPr/>
              <w:t xml:space="preserve">6 (19. 4%) </w:t>
            </w:r>
          </w:p>
        </w:tc>
        <w:tc>
          <w:tcPr>
            <w:tcW w:w="892" w:type="dxa"/>
            <w:tcBorders/>
            <w:vAlign w:val="center"/>
          </w:tcPr>
          <w:p>
            <w:pPr>
              <w:pStyle w:val="TableContents"/>
              <w:bidi w:val="0"/>
              <w:spacing w:before="0" w:after="283"/>
              <w:jc w:val="start"/>
              <w:rPr/>
            </w:pPr>
            <w:r>
              <w:rPr/>
              <w:t xml:space="preserve">0. 46 </w:t>
            </w:r>
          </w:p>
        </w:tc>
      </w:tr>
      <w:tr>
        <w:trPr/>
        <w:tc>
          <w:tcPr>
            <w:tcW w:w="1787" w:type="dxa"/>
            <w:tcBorders/>
            <w:vAlign w:val="center"/>
          </w:tcPr>
          <w:p>
            <w:pPr>
              <w:pStyle w:val="TableContents"/>
              <w:bidi w:val="0"/>
              <w:spacing w:before="0" w:after="283"/>
              <w:jc w:val="start"/>
              <w:rPr/>
            </w:pPr>
            <w:r>
              <w:rPr/>
              <w:t xml:space="preserve">Heart rate </w:t>
            </w:r>
          </w:p>
        </w:tc>
        <w:tc>
          <w:tcPr>
            <w:tcW w:w="876" w:type="dxa"/>
            <w:tcBorders/>
            <w:vAlign w:val="center"/>
          </w:tcPr>
          <w:p>
            <w:pPr>
              <w:pStyle w:val="TableContents"/>
              <w:bidi w:val="0"/>
              <w:spacing w:before="0" w:after="283"/>
              <w:jc w:val="start"/>
              <w:rPr/>
            </w:pPr>
            <w:r>
              <w:rPr/>
              <w:t xml:space="preserve">92 (±17) </w:t>
            </w:r>
          </w:p>
        </w:tc>
        <w:tc>
          <w:tcPr>
            <w:tcW w:w="829" w:type="dxa"/>
            <w:tcBorders/>
            <w:vAlign w:val="center"/>
          </w:tcPr>
          <w:p>
            <w:pPr>
              <w:pStyle w:val="TableContents"/>
              <w:bidi w:val="0"/>
              <w:spacing w:before="0" w:after="283"/>
              <w:jc w:val="start"/>
              <w:rPr/>
            </w:pPr>
            <w:r>
              <w:rPr/>
              <w:t xml:space="preserve">89 (±15) </w:t>
            </w:r>
          </w:p>
        </w:tc>
        <w:tc>
          <w:tcPr>
            <w:tcW w:w="892" w:type="dxa"/>
            <w:tcBorders/>
            <w:vAlign w:val="center"/>
          </w:tcPr>
          <w:p>
            <w:pPr>
              <w:pStyle w:val="TableContents"/>
              <w:bidi w:val="0"/>
              <w:spacing w:before="0" w:after="283"/>
              <w:jc w:val="start"/>
              <w:rPr/>
            </w:pPr>
            <w:r>
              <w:rPr/>
              <w:t xml:space="preserve">0. 384 </w:t>
            </w:r>
          </w:p>
        </w:tc>
      </w:tr>
      <w:tr>
        <w:trPr/>
        <w:tc>
          <w:tcPr>
            <w:tcW w:w="1787" w:type="dxa"/>
            <w:tcBorders/>
            <w:vAlign w:val="center"/>
          </w:tcPr>
          <w:p>
            <w:pPr>
              <w:pStyle w:val="TableContents"/>
              <w:bidi w:val="0"/>
              <w:spacing w:before="0" w:after="283"/>
              <w:jc w:val="start"/>
              <w:rPr/>
            </w:pPr>
            <w:r>
              <w:rPr/>
              <w:t xml:space="preserve">BP – Systolic </w:t>
            </w:r>
          </w:p>
        </w:tc>
        <w:tc>
          <w:tcPr>
            <w:tcW w:w="876" w:type="dxa"/>
            <w:tcBorders/>
            <w:vAlign w:val="center"/>
          </w:tcPr>
          <w:p>
            <w:pPr>
              <w:pStyle w:val="TableContents"/>
              <w:bidi w:val="0"/>
              <w:spacing w:before="0" w:after="283"/>
              <w:jc w:val="start"/>
              <w:rPr/>
            </w:pPr>
            <w:r>
              <w:rPr/>
              <w:t xml:space="preserve">136 (±18) </w:t>
            </w:r>
          </w:p>
        </w:tc>
        <w:tc>
          <w:tcPr>
            <w:tcW w:w="829" w:type="dxa"/>
            <w:tcBorders/>
            <w:vAlign w:val="center"/>
          </w:tcPr>
          <w:p>
            <w:pPr>
              <w:pStyle w:val="TableContents"/>
              <w:bidi w:val="0"/>
              <w:spacing w:before="0" w:after="283"/>
              <w:jc w:val="start"/>
              <w:rPr/>
            </w:pPr>
            <w:r>
              <w:rPr/>
              <w:t xml:space="preserve">143 (±24) </w:t>
            </w:r>
          </w:p>
        </w:tc>
        <w:tc>
          <w:tcPr>
            <w:tcW w:w="892" w:type="dxa"/>
            <w:tcBorders/>
            <w:vAlign w:val="center"/>
          </w:tcPr>
          <w:p>
            <w:pPr>
              <w:pStyle w:val="TableContents"/>
              <w:bidi w:val="0"/>
              <w:spacing w:before="0" w:after="283"/>
              <w:jc w:val="start"/>
              <w:rPr/>
            </w:pPr>
            <w:r>
              <w:rPr/>
              <w:t xml:space="preserve">0. 158 </w:t>
            </w:r>
          </w:p>
        </w:tc>
      </w:tr>
      <w:tr>
        <w:trPr/>
        <w:tc>
          <w:tcPr>
            <w:tcW w:w="1787" w:type="dxa"/>
            <w:tcBorders/>
            <w:vAlign w:val="center"/>
          </w:tcPr>
          <w:p>
            <w:pPr>
              <w:pStyle w:val="TableContents"/>
              <w:bidi w:val="0"/>
              <w:spacing w:before="0" w:after="283"/>
              <w:jc w:val="start"/>
              <w:rPr/>
            </w:pPr>
            <w:r>
              <w:rPr/>
              <w:t xml:space="preserve">BP _Diastolic </w:t>
            </w:r>
          </w:p>
        </w:tc>
        <w:tc>
          <w:tcPr>
            <w:tcW w:w="876" w:type="dxa"/>
            <w:tcBorders/>
            <w:vAlign w:val="center"/>
          </w:tcPr>
          <w:p>
            <w:pPr>
              <w:pStyle w:val="TableContents"/>
              <w:bidi w:val="0"/>
              <w:spacing w:before="0" w:after="283"/>
              <w:jc w:val="start"/>
              <w:rPr/>
            </w:pPr>
            <w:r>
              <w:rPr/>
              <w:t xml:space="preserve">75 (±12) </w:t>
            </w:r>
          </w:p>
        </w:tc>
        <w:tc>
          <w:tcPr>
            <w:tcW w:w="829" w:type="dxa"/>
            <w:tcBorders/>
            <w:vAlign w:val="center"/>
          </w:tcPr>
          <w:p>
            <w:pPr>
              <w:pStyle w:val="TableContents"/>
              <w:bidi w:val="0"/>
              <w:spacing w:before="0" w:after="283"/>
              <w:jc w:val="start"/>
              <w:rPr/>
            </w:pPr>
            <w:r>
              <w:rPr/>
              <w:t xml:space="preserve">72 (±11) </w:t>
            </w:r>
          </w:p>
        </w:tc>
        <w:tc>
          <w:tcPr>
            <w:tcW w:w="892" w:type="dxa"/>
            <w:tcBorders/>
            <w:vAlign w:val="center"/>
          </w:tcPr>
          <w:p>
            <w:pPr>
              <w:pStyle w:val="TableContents"/>
              <w:bidi w:val="0"/>
              <w:spacing w:before="0" w:after="283"/>
              <w:jc w:val="start"/>
              <w:rPr/>
            </w:pPr>
            <w:r>
              <w:rPr/>
              <w:t xml:space="preserve">0. 227 </w:t>
            </w:r>
          </w:p>
        </w:tc>
      </w:tr>
      <w:tr>
        <w:trPr/>
        <w:tc>
          <w:tcPr>
            <w:tcW w:w="1787" w:type="dxa"/>
            <w:tcBorders/>
            <w:vAlign w:val="center"/>
          </w:tcPr>
          <w:p>
            <w:pPr>
              <w:pStyle w:val="TableContents"/>
              <w:bidi w:val="0"/>
              <w:spacing w:before="0" w:after="283"/>
              <w:jc w:val="start"/>
              <w:rPr/>
            </w:pPr>
            <w:r>
              <w:rPr/>
              <w:t xml:space="preserve">Temperature </w:t>
            </w:r>
          </w:p>
        </w:tc>
        <w:tc>
          <w:tcPr>
            <w:tcW w:w="876" w:type="dxa"/>
            <w:tcBorders/>
            <w:vAlign w:val="center"/>
          </w:tcPr>
          <w:p>
            <w:pPr>
              <w:pStyle w:val="TableContents"/>
              <w:bidi w:val="0"/>
              <w:spacing w:before="0" w:after="283"/>
              <w:jc w:val="start"/>
              <w:rPr/>
            </w:pPr>
            <w:r>
              <w:rPr/>
              <w:t xml:space="preserve">37. 4 (±1. 0) </w:t>
            </w:r>
          </w:p>
        </w:tc>
        <w:tc>
          <w:tcPr>
            <w:tcW w:w="829" w:type="dxa"/>
            <w:tcBorders/>
            <w:vAlign w:val="center"/>
          </w:tcPr>
          <w:p>
            <w:pPr>
              <w:pStyle w:val="TableContents"/>
              <w:bidi w:val="0"/>
              <w:spacing w:before="0" w:after="283"/>
              <w:jc w:val="start"/>
              <w:rPr/>
            </w:pPr>
            <w:r>
              <w:rPr/>
              <w:t xml:space="preserve">37. 3 (±1. 0) </w:t>
            </w:r>
          </w:p>
        </w:tc>
        <w:tc>
          <w:tcPr>
            <w:tcW w:w="892" w:type="dxa"/>
            <w:tcBorders/>
            <w:vAlign w:val="center"/>
          </w:tcPr>
          <w:p>
            <w:pPr>
              <w:pStyle w:val="TableContents"/>
              <w:bidi w:val="0"/>
              <w:spacing w:before="0" w:after="283"/>
              <w:jc w:val="start"/>
              <w:rPr/>
            </w:pPr>
            <w:r>
              <w:rPr/>
              <w:t xml:space="preserve">0. 796 </w:t>
            </w:r>
          </w:p>
        </w:tc>
      </w:tr>
      <w:tr>
        <w:trPr/>
        <w:tc>
          <w:tcPr>
            <w:tcW w:w="1787" w:type="dxa"/>
            <w:tcBorders/>
            <w:vAlign w:val="center"/>
          </w:tcPr>
          <w:p>
            <w:pPr>
              <w:pStyle w:val="TableContents"/>
              <w:bidi w:val="0"/>
              <w:spacing w:before="0" w:after="283"/>
              <w:jc w:val="start"/>
              <w:rPr/>
            </w:pPr>
            <w:r>
              <w:rPr/>
              <w:t xml:space="preserve">Pain score </w:t>
            </w:r>
          </w:p>
        </w:tc>
        <w:tc>
          <w:tcPr>
            <w:tcW w:w="876" w:type="dxa"/>
            <w:tcBorders/>
            <w:vAlign w:val="center"/>
          </w:tcPr>
          <w:p>
            <w:pPr>
              <w:pStyle w:val="TableContents"/>
              <w:bidi w:val="0"/>
              <w:spacing w:before="0" w:after="283"/>
              <w:jc w:val="start"/>
              <w:rPr>
                <w:sz w:val="4"/>
                <w:szCs w:val="4"/>
              </w:rPr>
            </w:pPr>
            <w:r>
              <w:rPr>
                <w:sz w:val="4"/>
                <w:szCs w:val="4"/>
              </w:rPr>
            </w:r>
          </w:p>
        </w:tc>
        <w:tc>
          <w:tcPr>
            <w:tcW w:w="829" w:type="dxa"/>
            <w:tcBorders/>
            <w:vAlign w:val="center"/>
          </w:tcPr>
          <w:p>
            <w:pPr>
              <w:pStyle w:val="TableContents"/>
              <w:bidi w:val="0"/>
              <w:spacing w:before="0" w:after="283"/>
              <w:jc w:val="start"/>
              <w:rPr>
                <w:sz w:val="4"/>
                <w:szCs w:val="4"/>
              </w:rPr>
            </w:pPr>
            <w:r>
              <w:rPr>
                <w:sz w:val="4"/>
                <w:szCs w:val="4"/>
              </w:rPr>
            </w:r>
          </w:p>
        </w:tc>
        <w:tc>
          <w:tcPr>
            <w:tcW w:w="892" w:type="dxa"/>
            <w:tcBorders/>
            <w:vAlign w:val="center"/>
          </w:tcPr>
          <w:p>
            <w:pPr>
              <w:pStyle w:val="TableContents"/>
              <w:bidi w:val="0"/>
              <w:spacing w:before="0" w:after="283"/>
              <w:jc w:val="start"/>
              <w:rPr/>
            </w:pPr>
            <w:r>
              <w:rPr/>
              <w:t xml:space="preserve">0. 055 </w:t>
            </w:r>
          </w:p>
        </w:tc>
      </w:tr>
      <w:tr>
        <w:trPr/>
        <w:tc>
          <w:tcPr>
            <w:tcW w:w="1787" w:type="dxa"/>
            <w:tcBorders/>
            <w:vAlign w:val="center"/>
          </w:tcPr>
          <w:p>
            <w:pPr>
              <w:pStyle w:val="TableContents"/>
              <w:bidi w:val="0"/>
              <w:spacing w:before="0" w:after="283"/>
              <w:jc w:val="start"/>
              <w:rPr/>
            </w:pPr>
            <w:r>
              <w:rPr/>
              <w:t xml:space="preserve">Mild 0-3 </w:t>
            </w:r>
          </w:p>
        </w:tc>
        <w:tc>
          <w:tcPr>
            <w:tcW w:w="876" w:type="dxa"/>
            <w:tcBorders/>
            <w:vAlign w:val="center"/>
          </w:tcPr>
          <w:p>
            <w:pPr>
              <w:pStyle w:val="TableContents"/>
              <w:bidi w:val="0"/>
              <w:spacing w:before="0" w:after="283"/>
              <w:jc w:val="start"/>
              <w:rPr/>
            </w:pPr>
            <w:r>
              <w:rPr/>
              <w:t xml:space="preserve">32 (51. 6%) </w:t>
            </w:r>
          </w:p>
        </w:tc>
        <w:tc>
          <w:tcPr>
            <w:tcW w:w="829" w:type="dxa"/>
            <w:tcBorders/>
            <w:vAlign w:val="center"/>
          </w:tcPr>
          <w:p>
            <w:pPr>
              <w:pStyle w:val="TableContents"/>
              <w:bidi w:val="0"/>
              <w:spacing w:before="0" w:after="283"/>
              <w:jc w:val="start"/>
              <w:rPr/>
            </w:pPr>
            <w:r>
              <w:rPr/>
              <w:t xml:space="preserve">14 (53. 8%) </w:t>
            </w:r>
          </w:p>
        </w:tc>
        <w:tc>
          <w:tcPr>
            <w:tcW w:w="892" w:type="dxa"/>
            <w:tcBorders/>
            <w:vAlign w:val="center"/>
          </w:tcPr>
          <w:p>
            <w:pPr>
              <w:pStyle w:val="TableContents"/>
              <w:bidi w:val="0"/>
              <w:spacing w:before="0" w:after="283"/>
              <w:jc w:val="start"/>
              <w:rPr>
                <w:sz w:val="4"/>
                <w:szCs w:val="4"/>
              </w:rPr>
            </w:pPr>
            <w:r>
              <w:rPr>
                <w:sz w:val="4"/>
                <w:szCs w:val="4"/>
              </w:rPr>
            </w:r>
          </w:p>
        </w:tc>
      </w:tr>
      <w:tr>
        <w:trPr/>
        <w:tc>
          <w:tcPr>
            <w:tcW w:w="1787" w:type="dxa"/>
            <w:tcBorders/>
            <w:vAlign w:val="center"/>
          </w:tcPr>
          <w:p>
            <w:pPr>
              <w:pStyle w:val="TableContents"/>
              <w:bidi w:val="0"/>
              <w:spacing w:before="0" w:after="283"/>
              <w:jc w:val="start"/>
              <w:rPr/>
            </w:pPr>
            <w:r>
              <w:rPr/>
              <w:t xml:space="preserve">Moderate 4-7 </w:t>
            </w:r>
          </w:p>
        </w:tc>
        <w:tc>
          <w:tcPr>
            <w:tcW w:w="876" w:type="dxa"/>
            <w:tcBorders/>
            <w:vAlign w:val="center"/>
          </w:tcPr>
          <w:p>
            <w:pPr>
              <w:pStyle w:val="TableContents"/>
              <w:bidi w:val="0"/>
              <w:spacing w:before="0" w:after="283"/>
              <w:jc w:val="start"/>
              <w:rPr/>
            </w:pPr>
            <w:r>
              <w:rPr/>
              <w:t xml:space="preserve">20 (32. 3%) </w:t>
            </w:r>
          </w:p>
        </w:tc>
        <w:tc>
          <w:tcPr>
            <w:tcW w:w="829" w:type="dxa"/>
            <w:tcBorders/>
            <w:vAlign w:val="center"/>
          </w:tcPr>
          <w:p>
            <w:pPr>
              <w:pStyle w:val="TableContents"/>
              <w:bidi w:val="0"/>
              <w:spacing w:before="0" w:after="283"/>
              <w:jc w:val="start"/>
              <w:rPr/>
            </w:pPr>
            <w:r>
              <w:rPr/>
              <w:t xml:space="preserve">12 (46. 2%) </w:t>
            </w:r>
          </w:p>
        </w:tc>
        <w:tc>
          <w:tcPr>
            <w:tcW w:w="892" w:type="dxa"/>
            <w:tcBorders/>
            <w:vAlign w:val="center"/>
          </w:tcPr>
          <w:p>
            <w:pPr>
              <w:pStyle w:val="TableContents"/>
              <w:bidi w:val="0"/>
              <w:spacing w:before="0" w:after="283"/>
              <w:jc w:val="start"/>
              <w:rPr>
                <w:sz w:val="4"/>
                <w:szCs w:val="4"/>
              </w:rPr>
            </w:pPr>
            <w:r>
              <w:rPr>
                <w:sz w:val="4"/>
                <w:szCs w:val="4"/>
              </w:rPr>
            </w:r>
          </w:p>
        </w:tc>
      </w:tr>
      <w:tr>
        <w:trPr/>
        <w:tc>
          <w:tcPr>
            <w:tcW w:w="1787" w:type="dxa"/>
            <w:tcBorders/>
            <w:vAlign w:val="center"/>
          </w:tcPr>
          <w:p>
            <w:pPr>
              <w:pStyle w:val="TableContents"/>
              <w:bidi w:val="0"/>
              <w:spacing w:before="0" w:after="283"/>
              <w:jc w:val="start"/>
              <w:rPr/>
            </w:pPr>
            <w:r>
              <w:rPr/>
              <w:t xml:space="preserve">Severe 8-10 </w:t>
            </w:r>
          </w:p>
        </w:tc>
        <w:tc>
          <w:tcPr>
            <w:tcW w:w="876" w:type="dxa"/>
            <w:tcBorders/>
            <w:vAlign w:val="center"/>
          </w:tcPr>
          <w:p>
            <w:pPr>
              <w:pStyle w:val="TableContents"/>
              <w:bidi w:val="0"/>
              <w:spacing w:before="0" w:after="283"/>
              <w:jc w:val="start"/>
              <w:rPr/>
            </w:pPr>
            <w:r>
              <w:rPr/>
              <w:t xml:space="preserve">10 (16. 1%) </w:t>
            </w:r>
          </w:p>
        </w:tc>
        <w:tc>
          <w:tcPr>
            <w:tcW w:w="829" w:type="dxa"/>
            <w:tcBorders/>
            <w:vAlign w:val="center"/>
          </w:tcPr>
          <w:p>
            <w:pPr>
              <w:pStyle w:val="TableContents"/>
              <w:bidi w:val="0"/>
              <w:spacing w:before="0" w:after="283"/>
              <w:jc w:val="start"/>
              <w:rPr/>
            </w:pPr>
            <w:r>
              <w:rPr/>
              <w:t xml:space="preserve">0 </w:t>
            </w:r>
          </w:p>
        </w:tc>
        <w:tc>
          <w:tcPr>
            <w:tcW w:w="892" w:type="dxa"/>
            <w:tcBorders/>
            <w:vAlign w:val="center"/>
          </w:tcPr>
          <w:p>
            <w:pPr>
              <w:pStyle w:val="TableContents"/>
              <w:bidi w:val="0"/>
              <w:spacing w:before="0" w:after="283"/>
              <w:jc w:val="start"/>
              <w:rPr>
                <w:sz w:val="4"/>
                <w:szCs w:val="4"/>
              </w:rPr>
            </w:pPr>
            <w:r>
              <w:rPr>
                <w:sz w:val="4"/>
                <w:szCs w:val="4"/>
              </w:rPr>
            </w:r>
          </w:p>
        </w:tc>
      </w:tr>
      <w:tr>
        <w:trPr/>
        <w:tc>
          <w:tcPr>
            <w:tcW w:w="1787" w:type="dxa"/>
            <w:tcBorders/>
            <w:vAlign w:val="center"/>
          </w:tcPr>
          <w:p>
            <w:pPr>
              <w:pStyle w:val="TableContents"/>
              <w:bidi w:val="0"/>
              <w:spacing w:before="0" w:after="283"/>
              <w:jc w:val="start"/>
              <w:rPr/>
            </w:pPr>
            <w:r>
              <w:rPr/>
              <w:t xml:space="preserve">Pathology </w:t>
            </w:r>
          </w:p>
        </w:tc>
        <w:tc>
          <w:tcPr>
            <w:tcW w:w="876" w:type="dxa"/>
            <w:tcBorders/>
            <w:vAlign w:val="center"/>
          </w:tcPr>
          <w:p>
            <w:pPr>
              <w:pStyle w:val="TableContents"/>
              <w:bidi w:val="0"/>
              <w:spacing w:before="0" w:after="283"/>
              <w:jc w:val="start"/>
              <w:rPr>
                <w:sz w:val="4"/>
                <w:szCs w:val="4"/>
              </w:rPr>
            </w:pPr>
            <w:r>
              <w:rPr>
                <w:sz w:val="4"/>
                <w:szCs w:val="4"/>
              </w:rPr>
            </w:r>
          </w:p>
        </w:tc>
        <w:tc>
          <w:tcPr>
            <w:tcW w:w="829" w:type="dxa"/>
            <w:tcBorders/>
            <w:vAlign w:val="center"/>
          </w:tcPr>
          <w:p>
            <w:pPr>
              <w:pStyle w:val="TableContents"/>
              <w:bidi w:val="0"/>
              <w:spacing w:before="0" w:after="283"/>
              <w:jc w:val="start"/>
              <w:rPr>
                <w:sz w:val="4"/>
                <w:szCs w:val="4"/>
              </w:rPr>
            </w:pPr>
            <w:r>
              <w:rPr>
                <w:sz w:val="4"/>
                <w:szCs w:val="4"/>
              </w:rPr>
            </w:r>
          </w:p>
        </w:tc>
        <w:tc>
          <w:tcPr>
            <w:tcW w:w="892" w:type="dxa"/>
            <w:tcBorders/>
            <w:vAlign w:val="center"/>
          </w:tcPr>
          <w:p>
            <w:pPr>
              <w:pStyle w:val="TableContents"/>
              <w:bidi w:val="0"/>
              <w:spacing w:before="0" w:after="283"/>
              <w:jc w:val="start"/>
              <w:rPr>
                <w:sz w:val="4"/>
                <w:szCs w:val="4"/>
              </w:rPr>
            </w:pPr>
            <w:r>
              <w:rPr>
                <w:sz w:val="4"/>
                <w:szCs w:val="4"/>
              </w:rPr>
            </w:r>
          </w:p>
        </w:tc>
      </w:tr>
      <w:tr>
        <w:trPr/>
        <w:tc>
          <w:tcPr>
            <w:tcW w:w="1787" w:type="dxa"/>
            <w:tcBorders/>
            <w:vAlign w:val="center"/>
          </w:tcPr>
          <w:p>
            <w:pPr>
              <w:pStyle w:val="TableContents"/>
              <w:bidi w:val="0"/>
              <w:spacing w:before="0" w:after="283"/>
              <w:jc w:val="start"/>
              <w:rPr/>
            </w:pPr>
            <w:r>
              <w:rPr/>
              <w:t xml:space="preserve">Haemoglobin </w:t>
            </w:r>
          </w:p>
        </w:tc>
        <w:tc>
          <w:tcPr>
            <w:tcW w:w="876" w:type="dxa"/>
            <w:tcBorders/>
            <w:vAlign w:val="center"/>
          </w:tcPr>
          <w:p>
            <w:pPr>
              <w:pStyle w:val="TableContents"/>
              <w:bidi w:val="0"/>
              <w:spacing w:before="0" w:after="283"/>
              <w:jc w:val="start"/>
              <w:rPr/>
            </w:pPr>
            <w:r>
              <w:rPr/>
              <w:t xml:space="preserve">135. 0 (±19. 4) </w:t>
            </w:r>
          </w:p>
        </w:tc>
        <w:tc>
          <w:tcPr>
            <w:tcW w:w="829" w:type="dxa"/>
            <w:tcBorders/>
            <w:vAlign w:val="center"/>
          </w:tcPr>
          <w:p>
            <w:pPr>
              <w:pStyle w:val="TableContents"/>
              <w:bidi w:val="0"/>
              <w:spacing w:before="0" w:after="283"/>
              <w:jc w:val="start"/>
              <w:rPr/>
            </w:pPr>
            <w:r>
              <w:rPr/>
              <w:t xml:space="preserve">122. 1 (±16. 4) </w:t>
            </w:r>
          </w:p>
        </w:tc>
        <w:tc>
          <w:tcPr>
            <w:tcW w:w="892" w:type="dxa"/>
            <w:tcBorders/>
            <w:vAlign w:val="center"/>
          </w:tcPr>
          <w:p>
            <w:pPr>
              <w:pStyle w:val="TableContents"/>
              <w:bidi w:val="0"/>
              <w:spacing w:before="0" w:after="283"/>
              <w:jc w:val="start"/>
              <w:rPr/>
            </w:pPr>
            <w:r>
              <w:rPr/>
              <w:t xml:space="preserve">0. 002 </w:t>
            </w:r>
          </w:p>
        </w:tc>
      </w:tr>
      <w:tr>
        <w:trPr/>
        <w:tc>
          <w:tcPr>
            <w:tcW w:w="1787" w:type="dxa"/>
            <w:tcBorders/>
            <w:vAlign w:val="center"/>
          </w:tcPr>
          <w:p>
            <w:pPr>
              <w:pStyle w:val="TableContents"/>
              <w:bidi w:val="0"/>
              <w:spacing w:before="0" w:after="283"/>
              <w:jc w:val="start"/>
              <w:rPr/>
            </w:pPr>
            <w:r>
              <w:rPr/>
              <w:t xml:space="preserve">White cell count </w:t>
            </w:r>
          </w:p>
        </w:tc>
        <w:tc>
          <w:tcPr>
            <w:tcW w:w="876" w:type="dxa"/>
            <w:tcBorders/>
            <w:vAlign w:val="center"/>
          </w:tcPr>
          <w:p>
            <w:pPr>
              <w:pStyle w:val="TableContents"/>
              <w:bidi w:val="0"/>
              <w:spacing w:before="0" w:after="283"/>
              <w:jc w:val="start"/>
              <w:rPr/>
            </w:pPr>
            <w:r>
              <w:rPr/>
              <w:t xml:space="preserve">11. 3 (±5. 1) </w:t>
            </w:r>
          </w:p>
        </w:tc>
        <w:tc>
          <w:tcPr>
            <w:tcW w:w="829" w:type="dxa"/>
            <w:tcBorders/>
            <w:vAlign w:val="center"/>
          </w:tcPr>
          <w:p>
            <w:pPr>
              <w:pStyle w:val="TableContents"/>
              <w:bidi w:val="0"/>
              <w:spacing w:before="0" w:after="283"/>
              <w:jc w:val="start"/>
              <w:rPr/>
            </w:pPr>
            <w:r>
              <w:rPr/>
              <w:t xml:space="preserve">11. 1 (±6. 0) </w:t>
            </w:r>
          </w:p>
        </w:tc>
        <w:tc>
          <w:tcPr>
            <w:tcW w:w="892" w:type="dxa"/>
            <w:tcBorders/>
            <w:vAlign w:val="center"/>
          </w:tcPr>
          <w:p>
            <w:pPr>
              <w:pStyle w:val="TableContents"/>
              <w:bidi w:val="0"/>
              <w:spacing w:before="0" w:after="283"/>
              <w:jc w:val="start"/>
              <w:rPr/>
            </w:pPr>
            <w:r>
              <w:rPr/>
              <w:t xml:space="preserve">0. 61 </w:t>
            </w:r>
          </w:p>
        </w:tc>
      </w:tr>
      <w:tr>
        <w:trPr/>
        <w:tc>
          <w:tcPr>
            <w:tcW w:w="1787" w:type="dxa"/>
            <w:tcBorders/>
            <w:vAlign w:val="center"/>
          </w:tcPr>
          <w:p>
            <w:pPr>
              <w:pStyle w:val="TableContents"/>
              <w:bidi w:val="0"/>
              <w:spacing w:before="0" w:after="283"/>
              <w:jc w:val="start"/>
              <w:rPr/>
            </w:pPr>
            <w:r>
              <w:rPr/>
              <w:t xml:space="preserve">Albumin </w:t>
            </w:r>
          </w:p>
        </w:tc>
        <w:tc>
          <w:tcPr>
            <w:tcW w:w="876" w:type="dxa"/>
            <w:tcBorders/>
            <w:vAlign w:val="center"/>
          </w:tcPr>
          <w:p>
            <w:pPr>
              <w:pStyle w:val="TableContents"/>
              <w:bidi w:val="0"/>
              <w:spacing w:before="0" w:after="283"/>
              <w:jc w:val="start"/>
              <w:rPr/>
            </w:pPr>
            <w:r>
              <w:rPr/>
              <w:t xml:space="preserve">41. 4 (±4. 1) </w:t>
            </w:r>
          </w:p>
        </w:tc>
        <w:tc>
          <w:tcPr>
            <w:tcW w:w="829" w:type="dxa"/>
            <w:tcBorders/>
            <w:vAlign w:val="center"/>
          </w:tcPr>
          <w:p>
            <w:pPr>
              <w:pStyle w:val="TableContents"/>
              <w:bidi w:val="0"/>
              <w:spacing w:before="0" w:after="283"/>
              <w:jc w:val="start"/>
              <w:rPr/>
            </w:pPr>
            <w:r>
              <w:rPr/>
              <w:t xml:space="preserve">38. 0 (±4. 7) </w:t>
            </w:r>
          </w:p>
        </w:tc>
        <w:tc>
          <w:tcPr>
            <w:tcW w:w="892" w:type="dxa"/>
            <w:tcBorders/>
            <w:vAlign w:val="center"/>
          </w:tcPr>
          <w:p>
            <w:pPr>
              <w:pStyle w:val="TableContents"/>
              <w:bidi w:val="0"/>
              <w:spacing w:before="0" w:after="283"/>
              <w:jc w:val="start"/>
              <w:rPr/>
            </w:pPr>
            <w:r>
              <w:rPr/>
              <w:t xml:space="preserve">0. 001 </w:t>
            </w:r>
          </w:p>
        </w:tc>
      </w:tr>
      <w:tr>
        <w:trPr/>
        <w:tc>
          <w:tcPr>
            <w:tcW w:w="1787" w:type="dxa"/>
            <w:tcBorders/>
            <w:vAlign w:val="center"/>
          </w:tcPr>
          <w:p>
            <w:pPr>
              <w:pStyle w:val="TableContents"/>
              <w:bidi w:val="0"/>
              <w:spacing w:before="0" w:after="283"/>
              <w:jc w:val="start"/>
              <w:rPr/>
            </w:pPr>
            <w:r>
              <w:rPr/>
              <w:t xml:space="preserve">Creatinine – median (IQR) </w:t>
            </w:r>
          </w:p>
        </w:tc>
        <w:tc>
          <w:tcPr>
            <w:tcW w:w="876" w:type="dxa"/>
            <w:tcBorders/>
            <w:vAlign w:val="center"/>
          </w:tcPr>
          <w:p>
            <w:pPr>
              <w:pStyle w:val="TableContents"/>
              <w:bidi w:val="0"/>
              <w:spacing w:before="0" w:after="283"/>
              <w:jc w:val="start"/>
              <w:rPr/>
            </w:pPr>
            <w:r>
              <w:rPr/>
              <w:t xml:space="preserve">88 (76-106) </w:t>
            </w:r>
          </w:p>
        </w:tc>
        <w:tc>
          <w:tcPr>
            <w:tcW w:w="829" w:type="dxa"/>
            <w:tcBorders/>
            <w:vAlign w:val="center"/>
          </w:tcPr>
          <w:p>
            <w:pPr>
              <w:pStyle w:val="TableContents"/>
              <w:bidi w:val="0"/>
              <w:spacing w:before="0" w:after="283"/>
              <w:jc w:val="start"/>
              <w:rPr/>
            </w:pPr>
            <w:r>
              <w:rPr/>
              <w:t xml:space="preserve">93 (71-131) </w:t>
            </w:r>
          </w:p>
        </w:tc>
        <w:tc>
          <w:tcPr>
            <w:tcW w:w="892" w:type="dxa"/>
            <w:tcBorders/>
            <w:vAlign w:val="center"/>
          </w:tcPr>
          <w:p>
            <w:pPr>
              <w:pStyle w:val="TableContents"/>
              <w:bidi w:val="0"/>
              <w:spacing w:before="0" w:after="283"/>
              <w:jc w:val="start"/>
              <w:rPr/>
            </w:pPr>
            <w:r>
              <w:rPr/>
              <w:t xml:space="preserve">0. 692 </w:t>
            </w:r>
          </w:p>
        </w:tc>
      </w:tr>
      <w:tr>
        <w:trPr/>
        <w:tc>
          <w:tcPr>
            <w:tcW w:w="1787" w:type="dxa"/>
            <w:tcBorders/>
            <w:vAlign w:val="center"/>
          </w:tcPr>
          <w:p>
            <w:pPr>
              <w:pStyle w:val="TableContents"/>
              <w:bidi w:val="0"/>
              <w:spacing w:before="0" w:after="283"/>
              <w:jc w:val="start"/>
              <w:rPr/>
            </w:pPr>
            <w:r>
              <w:rPr/>
              <w:t xml:space="preserve">Urea – median (IQR) </w:t>
            </w:r>
          </w:p>
        </w:tc>
        <w:tc>
          <w:tcPr>
            <w:tcW w:w="876" w:type="dxa"/>
            <w:tcBorders/>
            <w:vAlign w:val="center"/>
          </w:tcPr>
          <w:p>
            <w:pPr>
              <w:pStyle w:val="TableContents"/>
              <w:bidi w:val="0"/>
              <w:spacing w:before="0" w:after="283"/>
              <w:jc w:val="start"/>
              <w:rPr/>
            </w:pPr>
            <w:r>
              <w:rPr/>
              <w:t xml:space="preserve">5. 8 (4. 8-8. 4) </w:t>
            </w:r>
          </w:p>
        </w:tc>
        <w:tc>
          <w:tcPr>
            <w:tcW w:w="829" w:type="dxa"/>
            <w:tcBorders/>
            <w:vAlign w:val="center"/>
          </w:tcPr>
          <w:p>
            <w:pPr>
              <w:pStyle w:val="TableContents"/>
              <w:bidi w:val="0"/>
              <w:spacing w:before="0" w:after="283"/>
              <w:jc w:val="start"/>
              <w:rPr/>
            </w:pPr>
            <w:r>
              <w:rPr/>
              <w:t xml:space="preserve">7. 9 (5. 8-12. 4) </w:t>
            </w:r>
          </w:p>
        </w:tc>
        <w:tc>
          <w:tcPr>
            <w:tcW w:w="892" w:type="dxa"/>
            <w:tcBorders/>
            <w:vAlign w:val="center"/>
          </w:tcPr>
          <w:p>
            <w:pPr>
              <w:pStyle w:val="TableContents"/>
              <w:bidi w:val="0"/>
              <w:spacing w:before="0" w:after="283"/>
              <w:jc w:val="start"/>
              <w:rPr/>
            </w:pPr>
            <w:r>
              <w:rPr/>
              <w:t xml:space="preserve">0. 011 </w:t>
            </w:r>
          </w:p>
        </w:tc>
      </w:tr>
      <w:tr>
        <w:trPr/>
        <w:tc>
          <w:tcPr>
            <w:tcW w:w="1787" w:type="dxa"/>
            <w:tcBorders/>
            <w:vAlign w:val="center"/>
          </w:tcPr>
          <w:p>
            <w:pPr>
              <w:pStyle w:val="TableContents"/>
              <w:bidi w:val="0"/>
              <w:spacing w:before="0" w:after="283"/>
              <w:jc w:val="start"/>
              <w:rPr/>
            </w:pPr>
            <w:r>
              <w:rPr/>
              <w:t xml:space="preserve">CRP – median (IQR) </w:t>
            </w:r>
          </w:p>
        </w:tc>
        <w:tc>
          <w:tcPr>
            <w:tcW w:w="876" w:type="dxa"/>
            <w:tcBorders/>
            <w:vAlign w:val="center"/>
          </w:tcPr>
          <w:p>
            <w:pPr>
              <w:pStyle w:val="TableContents"/>
              <w:bidi w:val="0"/>
              <w:spacing w:before="0" w:after="283"/>
              <w:jc w:val="start"/>
              <w:rPr/>
            </w:pPr>
            <w:r>
              <w:rPr/>
              <w:t xml:space="preserve">33 (15-117) </w:t>
            </w:r>
          </w:p>
        </w:tc>
        <w:tc>
          <w:tcPr>
            <w:tcW w:w="829" w:type="dxa"/>
            <w:tcBorders/>
            <w:vAlign w:val="center"/>
          </w:tcPr>
          <w:p>
            <w:pPr>
              <w:pStyle w:val="TableContents"/>
              <w:bidi w:val="0"/>
              <w:spacing w:before="0" w:after="283"/>
              <w:jc w:val="start"/>
              <w:rPr/>
            </w:pPr>
            <w:r>
              <w:rPr/>
              <w:t xml:space="preserve">60 (9-133) </w:t>
            </w:r>
          </w:p>
        </w:tc>
        <w:tc>
          <w:tcPr>
            <w:tcW w:w="892" w:type="dxa"/>
            <w:tcBorders/>
            <w:vAlign w:val="center"/>
          </w:tcPr>
          <w:p>
            <w:pPr>
              <w:pStyle w:val="TableContents"/>
              <w:bidi w:val="0"/>
              <w:spacing w:before="0" w:after="283"/>
              <w:jc w:val="start"/>
              <w:rPr/>
            </w:pPr>
            <w:r>
              <w:rPr/>
              <w:t xml:space="preserve">0. 919 </w:t>
            </w:r>
          </w:p>
        </w:tc>
      </w:tr>
      <w:tr>
        <w:trPr/>
        <w:tc>
          <w:tcPr>
            <w:tcW w:w="1787" w:type="dxa"/>
            <w:tcBorders/>
            <w:vAlign w:val="center"/>
          </w:tcPr>
          <w:p>
            <w:pPr>
              <w:pStyle w:val="TableContents"/>
              <w:bidi w:val="0"/>
              <w:spacing w:before="0" w:after="283"/>
              <w:jc w:val="start"/>
              <w:rPr/>
            </w:pPr>
            <w:r>
              <w:rPr/>
              <w:t xml:space="preserve">Blood culture </w:t>
            </w:r>
          </w:p>
        </w:tc>
        <w:tc>
          <w:tcPr>
            <w:tcW w:w="876" w:type="dxa"/>
            <w:tcBorders/>
            <w:vAlign w:val="center"/>
          </w:tcPr>
          <w:p>
            <w:pPr>
              <w:pStyle w:val="TableContents"/>
              <w:bidi w:val="0"/>
              <w:spacing w:before="0" w:after="283"/>
              <w:jc w:val="start"/>
              <w:rPr/>
            </w:pPr>
            <w:r>
              <w:rPr/>
              <w:t xml:space="preserve">29 (42. 0%) </w:t>
            </w:r>
          </w:p>
        </w:tc>
        <w:tc>
          <w:tcPr>
            <w:tcW w:w="829" w:type="dxa"/>
            <w:tcBorders/>
            <w:vAlign w:val="center"/>
          </w:tcPr>
          <w:p>
            <w:pPr>
              <w:pStyle w:val="TableContents"/>
              <w:bidi w:val="0"/>
              <w:spacing w:before="0" w:after="283"/>
              <w:jc w:val="start"/>
              <w:rPr/>
            </w:pPr>
            <w:r>
              <w:rPr/>
              <w:t xml:space="preserve">18 (58. 1%) </w:t>
            </w:r>
          </w:p>
        </w:tc>
        <w:tc>
          <w:tcPr>
            <w:tcW w:w="892" w:type="dxa"/>
            <w:tcBorders/>
            <w:vAlign w:val="center"/>
          </w:tcPr>
          <w:p>
            <w:pPr>
              <w:pStyle w:val="TableContents"/>
              <w:bidi w:val="0"/>
              <w:spacing w:before="0" w:after="283"/>
              <w:jc w:val="start"/>
              <w:rPr/>
            </w:pPr>
            <w:r>
              <w:rPr/>
              <w:t xml:space="preserve">0. 071 </w:t>
            </w:r>
          </w:p>
        </w:tc>
      </w:tr>
      <w:tr>
        <w:trPr/>
        <w:tc>
          <w:tcPr>
            <w:tcW w:w="1787" w:type="dxa"/>
            <w:tcBorders/>
            <w:vAlign w:val="center"/>
          </w:tcPr>
          <w:p>
            <w:pPr>
              <w:pStyle w:val="TableContents"/>
              <w:bidi w:val="0"/>
              <w:spacing w:before="0" w:after="283"/>
              <w:jc w:val="start"/>
              <w:rPr/>
            </w:pPr>
            <w:r>
              <w:rPr/>
              <w:t xml:space="preserve">Eron Classification </w:t>
            </w:r>
          </w:p>
        </w:tc>
        <w:tc>
          <w:tcPr>
            <w:tcW w:w="876" w:type="dxa"/>
            <w:tcBorders/>
            <w:vAlign w:val="center"/>
          </w:tcPr>
          <w:p>
            <w:pPr>
              <w:pStyle w:val="TableContents"/>
              <w:bidi w:val="0"/>
              <w:spacing w:before="0" w:after="283"/>
              <w:jc w:val="start"/>
              <w:rPr>
                <w:sz w:val="4"/>
                <w:szCs w:val="4"/>
              </w:rPr>
            </w:pPr>
            <w:r>
              <w:rPr>
                <w:sz w:val="4"/>
                <w:szCs w:val="4"/>
              </w:rPr>
            </w:r>
          </w:p>
        </w:tc>
        <w:tc>
          <w:tcPr>
            <w:tcW w:w="829" w:type="dxa"/>
            <w:tcBorders/>
            <w:vAlign w:val="center"/>
          </w:tcPr>
          <w:p>
            <w:pPr>
              <w:pStyle w:val="TableContents"/>
              <w:bidi w:val="0"/>
              <w:spacing w:before="0" w:after="283"/>
              <w:jc w:val="start"/>
              <w:rPr>
                <w:sz w:val="4"/>
                <w:szCs w:val="4"/>
              </w:rPr>
            </w:pPr>
            <w:r>
              <w:rPr>
                <w:sz w:val="4"/>
                <w:szCs w:val="4"/>
              </w:rPr>
            </w:r>
          </w:p>
        </w:tc>
        <w:tc>
          <w:tcPr>
            <w:tcW w:w="892" w:type="dxa"/>
            <w:tcBorders/>
            <w:vAlign w:val="center"/>
          </w:tcPr>
          <w:p>
            <w:pPr>
              <w:pStyle w:val="TableContents"/>
              <w:bidi w:val="0"/>
              <w:spacing w:before="0" w:after="283"/>
              <w:jc w:val="start"/>
              <w:rPr/>
            </w:pPr>
            <w:r>
              <w:rPr/>
              <w:t xml:space="preserve">0. 415 </w:t>
            </w:r>
          </w:p>
        </w:tc>
      </w:tr>
      <w:tr>
        <w:trPr/>
        <w:tc>
          <w:tcPr>
            <w:tcW w:w="1787" w:type="dxa"/>
            <w:tcBorders/>
            <w:vAlign w:val="center"/>
          </w:tcPr>
          <w:p>
            <w:pPr>
              <w:pStyle w:val="TableContents"/>
              <w:bidi w:val="0"/>
              <w:spacing w:before="0" w:after="283"/>
              <w:jc w:val="start"/>
              <w:rPr/>
            </w:pPr>
            <w:r>
              <w:rPr/>
              <w:t xml:space="preserve">Class I </w:t>
            </w:r>
          </w:p>
        </w:tc>
        <w:tc>
          <w:tcPr>
            <w:tcW w:w="876" w:type="dxa"/>
            <w:tcBorders/>
            <w:vAlign w:val="center"/>
          </w:tcPr>
          <w:p>
            <w:pPr>
              <w:pStyle w:val="TableContents"/>
              <w:bidi w:val="0"/>
              <w:spacing w:before="0" w:after="283"/>
              <w:jc w:val="start"/>
              <w:rPr/>
            </w:pPr>
            <w:r>
              <w:rPr/>
              <w:t xml:space="preserve">10 (14. 5%) </w:t>
            </w:r>
          </w:p>
        </w:tc>
        <w:tc>
          <w:tcPr>
            <w:tcW w:w="829" w:type="dxa"/>
            <w:tcBorders/>
            <w:vAlign w:val="center"/>
          </w:tcPr>
          <w:p>
            <w:pPr>
              <w:pStyle w:val="TableContents"/>
              <w:bidi w:val="0"/>
              <w:spacing w:before="0" w:after="283"/>
              <w:jc w:val="start"/>
              <w:rPr/>
            </w:pPr>
            <w:r>
              <w:rPr/>
              <w:t xml:space="preserve">2 (6. 5%) </w:t>
            </w:r>
          </w:p>
        </w:tc>
        <w:tc>
          <w:tcPr>
            <w:tcW w:w="892" w:type="dxa"/>
            <w:tcBorders/>
            <w:vAlign w:val="center"/>
          </w:tcPr>
          <w:p>
            <w:pPr>
              <w:pStyle w:val="TableContents"/>
              <w:bidi w:val="0"/>
              <w:spacing w:before="0" w:after="283"/>
              <w:jc w:val="start"/>
              <w:rPr>
                <w:sz w:val="4"/>
                <w:szCs w:val="4"/>
              </w:rPr>
            </w:pPr>
            <w:r>
              <w:rPr>
                <w:sz w:val="4"/>
                <w:szCs w:val="4"/>
              </w:rPr>
            </w:r>
          </w:p>
        </w:tc>
      </w:tr>
      <w:tr>
        <w:trPr/>
        <w:tc>
          <w:tcPr>
            <w:tcW w:w="1787" w:type="dxa"/>
            <w:tcBorders/>
            <w:vAlign w:val="center"/>
          </w:tcPr>
          <w:p>
            <w:pPr>
              <w:pStyle w:val="TableContents"/>
              <w:bidi w:val="0"/>
              <w:spacing w:before="0" w:after="283"/>
              <w:jc w:val="start"/>
              <w:rPr/>
            </w:pPr>
            <w:r>
              <w:rPr/>
              <w:t xml:space="preserve">Class II </w:t>
            </w:r>
          </w:p>
        </w:tc>
        <w:tc>
          <w:tcPr>
            <w:tcW w:w="876" w:type="dxa"/>
            <w:tcBorders/>
            <w:vAlign w:val="center"/>
          </w:tcPr>
          <w:p>
            <w:pPr>
              <w:pStyle w:val="TableContents"/>
              <w:bidi w:val="0"/>
              <w:spacing w:before="0" w:after="283"/>
              <w:jc w:val="start"/>
              <w:rPr/>
            </w:pPr>
            <w:r>
              <w:rPr/>
              <w:t xml:space="preserve">55 (79. 7%) </w:t>
            </w:r>
          </w:p>
        </w:tc>
        <w:tc>
          <w:tcPr>
            <w:tcW w:w="829" w:type="dxa"/>
            <w:tcBorders/>
            <w:vAlign w:val="center"/>
          </w:tcPr>
          <w:p>
            <w:pPr>
              <w:pStyle w:val="TableContents"/>
              <w:bidi w:val="0"/>
              <w:spacing w:before="0" w:after="283"/>
              <w:jc w:val="start"/>
              <w:rPr/>
            </w:pPr>
            <w:r>
              <w:rPr/>
              <w:t xml:space="preserve">26 (83. 9%) </w:t>
            </w:r>
          </w:p>
        </w:tc>
        <w:tc>
          <w:tcPr>
            <w:tcW w:w="892" w:type="dxa"/>
            <w:tcBorders/>
            <w:vAlign w:val="center"/>
          </w:tcPr>
          <w:p>
            <w:pPr>
              <w:pStyle w:val="TableContents"/>
              <w:bidi w:val="0"/>
              <w:spacing w:before="0" w:after="283"/>
              <w:jc w:val="start"/>
              <w:rPr>
                <w:sz w:val="4"/>
                <w:szCs w:val="4"/>
              </w:rPr>
            </w:pPr>
            <w:r>
              <w:rPr>
                <w:sz w:val="4"/>
                <w:szCs w:val="4"/>
              </w:rPr>
            </w:r>
          </w:p>
        </w:tc>
      </w:tr>
      <w:tr>
        <w:trPr/>
        <w:tc>
          <w:tcPr>
            <w:tcW w:w="1787" w:type="dxa"/>
            <w:tcBorders/>
            <w:vAlign w:val="center"/>
          </w:tcPr>
          <w:p>
            <w:pPr>
              <w:pStyle w:val="TableContents"/>
              <w:bidi w:val="0"/>
              <w:spacing w:before="0" w:after="283"/>
              <w:jc w:val="start"/>
              <w:rPr/>
            </w:pPr>
            <w:r>
              <w:rPr/>
              <w:t xml:space="preserve">Class III </w:t>
            </w:r>
          </w:p>
        </w:tc>
        <w:tc>
          <w:tcPr>
            <w:tcW w:w="876" w:type="dxa"/>
            <w:tcBorders/>
            <w:vAlign w:val="center"/>
          </w:tcPr>
          <w:p>
            <w:pPr>
              <w:pStyle w:val="TableContents"/>
              <w:bidi w:val="0"/>
              <w:spacing w:before="0" w:after="283"/>
              <w:jc w:val="start"/>
              <w:rPr/>
            </w:pPr>
            <w:r>
              <w:rPr/>
              <w:t xml:space="preserve">4 (5. 8%) </w:t>
            </w:r>
          </w:p>
        </w:tc>
        <w:tc>
          <w:tcPr>
            <w:tcW w:w="829" w:type="dxa"/>
            <w:tcBorders/>
            <w:vAlign w:val="center"/>
          </w:tcPr>
          <w:p>
            <w:pPr>
              <w:pStyle w:val="TableContents"/>
              <w:bidi w:val="0"/>
              <w:spacing w:before="0" w:after="283"/>
              <w:jc w:val="start"/>
              <w:rPr/>
            </w:pPr>
            <w:r>
              <w:rPr/>
              <w:t xml:space="preserve">3 (9. 7%) </w:t>
            </w:r>
          </w:p>
        </w:tc>
        <w:tc>
          <w:tcPr>
            <w:tcW w:w="892" w:type="dxa"/>
            <w:tcBorders/>
            <w:vAlign w:val="center"/>
          </w:tcPr>
          <w:p>
            <w:pPr>
              <w:pStyle w:val="TableContents"/>
              <w:bidi w:val="0"/>
              <w:spacing w:before="0" w:after="283"/>
              <w:jc w:val="start"/>
              <w:rPr>
                <w:sz w:val="4"/>
                <w:szCs w:val="4"/>
              </w:rPr>
            </w:pPr>
            <w:r>
              <w:rPr>
                <w:sz w:val="4"/>
                <w:szCs w:val="4"/>
              </w:rPr>
            </w:r>
          </w:p>
        </w:tc>
      </w:tr>
      <w:tr>
        <w:trPr/>
        <w:tc>
          <w:tcPr>
            <w:tcW w:w="1787" w:type="dxa"/>
            <w:tcBorders/>
            <w:vAlign w:val="center"/>
          </w:tcPr>
          <w:p>
            <w:pPr>
              <w:pStyle w:val="TableContents"/>
              <w:bidi w:val="0"/>
              <w:spacing w:before="0" w:after="283"/>
              <w:jc w:val="start"/>
              <w:rPr/>
            </w:pPr>
            <w:r>
              <w:rPr/>
              <w:t xml:space="preserve">Class IV </w:t>
            </w:r>
          </w:p>
        </w:tc>
        <w:tc>
          <w:tcPr>
            <w:tcW w:w="876" w:type="dxa"/>
            <w:tcBorders/>
            <w:vAlign w:val="center"/>
          </w:tcPr>
          <w:p>
            <w:pPr>
              <w:pStyle w:val="TableContents"/>
              <w:bidi w:val="0"/>
              <w:spacing w:before="0" w:after="283"/>
              <w:jc w:val="start"/>
              <w:rPr/>
            </w:pPr>
            <w:r>
              <w:rPr/>
              <w:t xml:space="preserve">0 </w:t>
            </w:r>
          </w:p>
        </w:tc>
        <w:tc>
          <w:tcPr>
            <w:tcW w:w="829" w:type="dxa"/>
            <w:tcBorders/>
            <w:vAlign w:val="center"/>
          </w:tcPr>
          <w:p>
            <w:pPr>
              <w:pStyle w:val="TableContents"/>
              <w:bidi w:val="0"/>
              <w:spacing w:before="0" w:after="283"/>
              <w:jc w:val="start"/>
              <w:rPr/>
            </w:pPr>
            <w:r>
              <w:rPr/>
              <w:t xml:space="preserve">0 </w:t>
            </w:r>
          </w:p>
        </w:tc>
        <w:tc>
          <w:tcPr>
            <w:tcW w:w="892"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Style w:val="Emphasis"/>
        </w:rPr>
        <w:t xml:space="preserve">† </w:t>
      </w:r>
      <w:r>
        <w:rPr>
          <w:rStyle w:val="Emphasis"/>
        </w:rPr>
        <w:t xml:space="preserve">Logistic regression – Chi-square = 17. 868, p= 0. 007, df= 6, Nagelkerke’s R2 0. 230; BMI body mass index; IHD ischaemic heart disease; AF atrial fribrillation; CCF congestive cardiac failure; DVT deep vein thrombosis; PE pulmonary embolism; CRP C reactive protein. </w:t>
      </w:r>
    </w:p>
    <w:tbl>
      <w:tblPr>
        <w:tblW w:w="4384" w:type="dxa"/>
        <w:jc w:val="start"/>
        <w:tblInd w:w="0" w:type="dxa"/>
        <w:tblLayout w:type="fixed"/>
        <w:tblCellMar>
          <w:top w:w="28" w:type="dxa"/>
          <w:start w:w="28" w:type="dxa"/>
          <w:bottom w:w="28" w:type="dxa"/>
          <w:end w:w="28" w:type="dxa"/>
        </w:tblCellMar>
      </w:tblPr>
      <w:tblGrid>
        <w:gridCol w:w="2401"/>
        <w:gridCol w:w="601"/>
        <w:gridCol w:w="511"/>
        <w:gridCol w:w="871"/>
      </w:tblGrid>
      <w:tr>
        <w:trPr>
          <w:tblHeader w:val="true"/>
        </w:trPr>
        <w:tc>
          <w:tcPr>
            <w:tcW w:w="4384" w:type="dxa"/>
            <w:gridSpan w:val="4"/>
            <w:tcBorders/>
            <w:vAlign w:val="center"/>
          </w:tcPr>
          <w:p>
            <w:pPr>
              <w:pStyle w:val="TableContents"/>
              <w:bidi w:val="0"/>
              <w:spacing w:before="0" w:after="283"/>
              <w:jc w:val="start"/>
              <w:rPr/>
            </w:pPr>
            <w:r>
              <w:rPr/>
              <w:t xml:space="preserve">Table 2. Treatment, Complications and Outcomes </w:t>
            </w:r>
          </w:p>
        </w:tc>
      </w:tr>
      <w:tr>
        <w:trPr>
          <w:tblHeader w:val="true"/>
        </w:trPr>
        <w:tc>
          <w:tcPr>
            <w:tcW w:w="2401" w:type="dxa"/>
            <w:tcBorders/>
            <w:vAlign w:val="center"/>
          </w:tcPr>
          <w:p>
            <w:pPr>
              <w:pStyle w:val="TableContents"/>
              <w:bidi w:val="0"/>
              <w:spacing w:before="0" w:after="283"/>
              <w:jc w:val="start"/>
              <w:rPr/>
            </w:pPr>
            <w:r>
              <w:rPr/>
              <w:t xml:space="preserve">Characteristics </w:t>
            </w:r>
          </w:p>
        </w:tc>
        <w:tc>
          <w:tcPr>
            <w:tcW w:w="601" w:type="dxa"/>
            <w:tcBorders/>
            <w:vAlign w:val="center"/>
          </w:tcPr>
          <w:p>
            <w:pPr>
              <w:pStyle w:val="TableContents"/>
              <w:bidi w:val="0"/>
              <w:spacing w:before="0" w:after="283"/>
              <w:jc w:val="start"/>
              <w:rPr/>
            </w:pPr>
            <w:r>
              <w:rPr/>
              <w:t xml:space="preserve">Age &lt; 75 years (N= 69) </w:t>
            </w:r>
          </w:p>
        </w:tc>
        <w:tc>
          <w:tcPr>
            <w:tcW w:w="511" w:type="dxa"/>
            <w:tcBorders/>
            <w:vAlign w:val="center"/>
          </w:tcPr>
          <w:p>
            <w:pPr>
              <w:pStyle w:val="TableContents"/>
              <w:bidi w:val="0"/>
              <w:spacing w:before="0" w:after="283"/>
              <w:jc w:val="start"/>
              <w:rPr/>
            </w:pPr>
            <w:r>
              <w:rPr/>
              <w:t xml:space="preserve">Age 75+ years (N= 31) </w:t>
            </w:r>
          </w:p>
        </w:tc>
        <w:tc>
          <w:tcPr>
            <w:tcW w:w="871" w:type="dxa"/>
            <w:tcBorders/>
            <w:vAlign w:val="center"/>
          </w:tcPr>
          <w:p>
            <w:pPr>
              <w:pStyle w:val="TableContents"/>
              <w:bidi w:val="0"/>
              <w:spacing w:before="0" w:after="283"/>
              <w:jc w:val="start"/>
              <w:rPr/>
            </w:pPr>
            <w:r>
              <w:rPr/>
              <w:t xml:space="preserve">P-value </w:t>
            </w:r>
          </w:p>
        </w:tc>
      </w:tr>
      <w:tr>
        <w:trPr/>
        <w:tc>
          <w:tcPr>
            <w:tcW w:w="2401" w:type="dxa"/>
            <w:tcBorders/>
            <w:vAlign w:val="center"/>
          </w:tcPr>
          <w:p>
            <w:pPr>
              <w:pStyle w:val="TableContents"/>
              <w:bidi w:val="0"/>
              <w:spacing w:before="0" w:after="283"/>
              <w:jc w:val="start"/>
              <w:rPr/>
            </w:pPr>
            <w:r>
              <w:rPr/>
              <w:t xml:space="preserve">Completed treatment via HiTH </w:t>
            </w:r>
          </w:p>
        </w:tc>
        <w:tc>
          <w:tcPr>
            <w:tcW w:w="601" w:type="dxa"/>
            <w:tcBorders/>
            <w:vAlign w:val="center"/>
          </w:tcPr>
          <w:p>
            <w:pPr>
              <w:pStyle w:val="TableContents"/>
              <w:bidi w:val="0"/>
              <w:spacing w:before="0" w:after="283"/>
              <w:jc w:val="start"/>
              <w:rPr/>
            </w:pPr>
            <w:r>
              <w:rPr/>
              <w:t xml:space="preserve">41 (59. 4%) </w:t>
            </w:r>
          </w:p>
        </w:tc>
        <w:tc>
          <w:tcPr>
            <w:tcW w:w="511" w:type="dxa"/>
            <w:tcBorders/>
            <w:vAlign w:val="center"/>
          </w:tcPr>
          <w:p>
            <w:pPr>
              <w:pStyle w:val="TableContents"/>
              <w:bidi w:val="0"/>
              <w:spacing w:before="0" w:after="283"/>
              <w:jc w:val="start"/>
              <w:rPr/>
            </w:pPr>
            <w:r>
              <w:rPr/>
              <w:t xml:space="preserve">10 (32. 3%) </w:t>
            </w:r>
          </w:p>
        </w:tc>
        <w:tc>
          <w:tcPr>
            <w:tcW w:w="871" w:type="dxa"/>
            <w:tcBorders/>
            <w:vAlign w:val="center"/>
          </w:tcPr>
          <w:p>
            <w:pPr>
              <w:pStyle w:val="TableContents"/>
              <w:bidi w:val="0"/>
              <w:spacing w:before="0" w:after="283"/>
              <w:jc w:val="start"/>
              <w:rPr/>
            </w:pPr>
            <w:r>
              <w:rPr/>
              <w:t xml:space="preserve">0. 012 </w:t>
            </w:r>
          </w:p>
        </w:tc>
      </w:tr>
      <w:tr>
        <w:trPr/>
        <w:tc>
          <w:tcPr>
            <w:tcW w:w="2401" w:type="dxa"/>
            <w:tcBorders/>
            <w:vAlign w:val="center"/>
          </w:tcPr>
          <w:p>
            <w:pPr>
              <w:pStyle w:val="TableContents"/>
              <w:bidi w:val="0"/>
              <w:spacing w:before="0" w:after="283"/>
              <w:jc w:val="start"/>
              <w:rPr/>
            </w:pPr>
            <w:r>
              <w:rPr/>
              <w:t xml:space="preserve">Duration of IV antibiotic – median (IQR) </w:t>
            </w:r>
          </w:p>
        </w:tc>
        <w:tc>
          <w:tcPr>
            <w:tcW w:w="601" w:type="dxa"/>
            <w:tcBorders/>
            <w:vAlign w:val="center"/>
          </w:tcPr>
          <w:p>
            <w:pPr>
              <w:pStyle w:val="TableContents"/>
              <w:bidi w:val="0"/>
              <w:spacing w:before="0" w:after="283"/>
              <w:jc w:val="start"/>
              <w:rPr/>
            </w:pPr>
            <w:r>
              <w:rPr/>
              <w:t xml:space="preserve">6 (4-8) </w:t>
            </w:r>
          </w:p>
        </w:tc>
        <w:tc>
          <w:tcPr>
            <w:tcW w:w="511" w:type="dxa"/>
            <w:tcBorders/>
            <w:vAlign w:val="center"/>
          </w:tcPr>
          <w:p>
            <w:pPr>
              <w:pStyle w:val="TableContents"/>
              <w:bidi w:val="0"/>
              <w:spacing w:before="0" w:after="283"/>
              <w:jc w:val="start"/>
              <w:rPr/>
            </w:pPr>
            <w:r>
              <w:rPr/>
              <w:t xml:space="preserve">4 (2-9) </w:t>
            </w:r>
          </w:p>
        </w:tc>
        <w:tc>
          <w:tcPr>
            <w:tcW w:w="871" w:type="dxa"/>
            <w:tcBorders/>
            <w:vAlign w:val="center"/>
          </w:tcPr>
          <w:p>
            <w:pPr>
              <w:pStyle w:val="TableContents"/>
              <w:bidi w:val="0"/>
              <w:spacing w:before="0" w:after="283"/>
              <w:jc w:val="start"/>
              <w:rPr/>
            </w:pPr>
            <w:r>
              <w:rPr/>
              <w:t xml:space="preserve">0. 059 </w:t>
            </w:r>
          </w:p>
        </w:tc>
      </w:tr>
      <w:tr>
        <w:trPr/>
        <w:tc>
          <w:tcPr>
            <w:tcW w:w="2401" w:type="dxa"/>
            <w:tcBorders/>
            <w:vAlign w:val="center"/>
          </w:tcPr>
          <w:p>
            <w:pPr>
              <w:pStyle w:val="TableContents"/>
              <w:bidi w:val="0"/>
              <w:spacing w:before="0" w:after="283"/>
              <w:jc w:val="start"/>
              <w:rPr/>
            </w:pPr>
            <w:r>
              <w:rPr/>
              <w:t xml:space="preserve">Length of hospital stay – median (IQR) </w:t>
            </w:r>
          </w:p>
        </w:tc>
        <w:tc>
          <w:tcPr>
            <w:tcW w:w="601" w:type="dxa"/>
            <w:tcBorders/>
            <w:vAlign w:val="center"/>
          </w:tcPr>
          <w:p>
            <w:pPr>
              <w:pStyle w:val="TableContents"/>
              <w:bidi w:val="0"/>
              <w:spacing w:before="0" w:after="283"/>
              <w:jc w:val="start"/>
              <w:rPr/>
            </w:pPr>
            <w:r>
              <w:rPr/>
              <w:t xml:space="preserve">8 (6-13) </w:t>
            </w:r>
          </w:p>
        </w:tc>
        <w:tc>
          <w:tcPr>
            <w:tcW w:w="511" w:type="dxa"/>
            <w:tcBorders/>
            <w:vAlign w:val="center"/>
          </w:tcPr>
          <w:p>
            <w:pPr>
              <w:pStyle w:val="TableContents"/>
              <w:bidi w:val="0"/>
              <w:spacing w:before="0" w:after="283"/>
              <w:jc w:val="start"/>
              <w:rPr/>
            </w:pPr>
            <w:r>
              <w:rPr/>
              <w:t xml:space="preserve">10 (7-15) </w:t>
            </w:r>
          </w:p>
        </w:tc>
        <w:tc>
          <w:tcPr>
            <w:tcW w:w="871" w:type="dxa"/>
            <w:tcBorders/>
            <w:vAlign w:val="center"/>
          </w:tcPr>
          <w:p>
            <w:pPr>
              <w:pStyle w:val="TableContents"/>
              <w:bidi w:val="0"/>
              <w:spacing w:before="0" w:after="283"/>
              <w:jc w:val="start"/>
              <w:rPr/>
            </w:pPr>
            <w:r>
              <w:rPr/>
              <w:t xml:space="preserve">0. 403 </w:t>
            </w:r>
          </w:p>
        </w:tc>
      </w:tr>
      <w:tr>
        <w:trPr/>
        <w:tc>
          <w:tcPr>
            <w:tcW w:w="2401" w:type="dxa"/>
            <w:tcBorders/>
            <w:vAlign w:val="center"/>
          </w:tcPr>
          <w:p>
            <w:pPr>
              <w:pStyle w:val="TableContents"/>
              <w:bidi w:val="0"/>
              <w:spacing w:before="0" w:after="283"/>
              <w:jc w:val="start"/>
              <w:rPr/>
            </w:pPr>
            <w:r>
              <w:rPr/>
              <w:t xml:space="preserve">Antibiotics </w:t>
            </w:r>
          </w:p>
        </w:tc>
        <w:tc>
          <w:tcPr>
            <w:tcW w:w="601" w:type="dxa"/>
            <w:tcBorders/>
            <w:vAlign w:val="center"/>
          </w:tcPr>
          <w:p>
            <w:pPr>
              <w:pStyle w:val="TableContents"/>
              <w:bidi w:val="0"/>
              <w:spacing w:before="0" w:after="283"/>
              <w:jc w:val="start"/>
              <w:rPr>
                <w:sz w:val="4"/>
                <w:szCs w:val="4"/>
              </w:rPr>
            </w:pPr>
            <w:r>
              <w:rPr>
                <w:sz w:val="4"/>
                <w:szCs w:val="4"/>
              </w:rPr>
            </w:r>
          </w:p>
        </w:tc>
        <w:tc>
          <w:tcPr>
            <w:tcW w:w="511"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pPr>
            <w:r>
              <w:rPr/>
              <w:t xml:space="preserve">0. 121 </w:t>
            </w:r>
          </w:p>
        </w:tc>
      </w:tr>
      <w:tr>
        <w:trPr/>
        <w:tc>
          <w:tcPr>
            <w:tcW w:w="2401" w:type="dxa"/>
            <w:tcBorders/>
            <w:vAlign w:val="center"/>
          </w:tcPr>
          <w:p>
            <w:pPr>
              <w:pStyle w:val="TableContents"/>
              <w:bidi w:val="0"/>
              <w:spacing w:before="0" w:after="283"/>
              <w:jc w:val="start"/>
              <w:rPr/>
            </w:pPr>
            <w:r>
              <w:rPr/>
              <w:t xml:space="preserve">Cephazolin </w:t>
            </w:r>
          </w:p>
        </w:tc>
        <w:tc>
          <w:tcPr>
            <w:tcW w:w="601" w:type="dxa"/>
            <w:tcBorders/>
            <w:vAlign w:val="center"/>
          </w:tcPr>
          <w:p>
            <w:pPr>
              <w:pStyle w:val="TableContents"/>
              <w:bidi w:val="0"/>
              <w:spacing w:before="0" w:after="283"/>
              <w:jc w:val="start"/>
              <w:rPr/>
            </w:pPr>
            <w:r>
              <w:rPr/>
              <w:t xml:space="preserve">47 (51. 1%) </w:t>
            </w:r>
          </w:p>
        </w:tc>
        <w:tc>
          <w:tcPr>
            <w:tcW w:w="511" w:type="dxa"/>
            <w:tcBorders/>
            <w:vAlign w:val="center"/>
          </w:tcPr>
          <w:p>
            <w:pPr>
              <w:pStyle w:val="TableContents"/>
              <w:bidi w:val="0"/>
              <w:spacing w:before="0" w:after="283"/>
              <w:jc w:val="start"/>
              <w:rPr/>
            </w:pPr>
            <w:r>
              <w:rPr/>
              <w:t xml:space="preserve">16 (32. 7%) </w:t>
            </w:r>
          </w:p>
        </w:tc>
        <w:tc>
          <w:tcPr>
            <w:tcW w:w="871" w:type="dxa"/>
            <w:tcBorders/>
            <w:vAlign w:val="center"/>
          </w:tcPr>
          <w:p>
            <w:pPr>
              <w:pStyle w:val="TableContents"/>
              <w:bidi w:val="0"/>
              <w:spacing w:before="0" w:after="283"/>
              <w:jc w:val="start"/>
              <w:rPr>
                <w:sz w:val="4"/>
                <w:szCs w:val="4"/>
              </w:rPr>
            </w:pPr>
            <w:r>
              <w:rPr>
                <w:sz w:val="4"/>
                <w:szCs w:val="4"/>
              </w:rPr>
            </w:r>
          </w:p>
        </w:tc>
      </w:tr>
      <w:tr>
        <w:trPr/>
        <w:tc>
          <w:tcPr>
            <w:tcW w:w="2401" w:type="dxa"/>
            <w:tcBorders/>
            <w:vAlign w:val="center"/>
          </w:tcPr>
          <w:p>
            <w:pPr>
              <w:pStyle w:val="TableContents"/>
              <w:bidi w:val="0"/>
              <w:spacing w:before="0" w:after="283"/>
              <w:jc w:val="start"/>
              <w:rPr/>
            </w:pPr>
            <w:r>
              <w:rPr/>
              <w:t xml:space="preserve">Flucloxacillin </w:t>
            </w:r>
          </w:p>
        </w:tc>
        <w:tc>
          <w:tcPr>
            <w:tcW w:w="601" w:type="dxa"/>
            <w:tcBorders/>
            <w:vAlign w:val="center"/>
          </w:tcPr>
          <w:p>
            <w:pPr>
              <w:pStyle w:val="TableContents"/>
              <w:bidi w:val="0"/>
              <w:spacing w:before="0" w:after="283"/>
              <w:jc w:val="start"/>
              <w:rPr/>
            </w:pPr>
            <w:r>
              <w:rPr/>
              <w:t xml:space="preserve">20 (21. 7%) </w:t>
            </w:r>
          </w:p>
        </w:tc>
        <w:tc>
          <w:tcPr>
            <w:tcW w:w="511" w:type="dxa"/>
            <w:tcBorders/>
            <w:vAlign w:val="center"/>
          </w:tcPr>
          <w:p>
            <w:pPr>
              <w:pStyle w:val="TableContents"/>
              <w:bidi w:val="0"/>
              <w:spacing w:before="0" w:after="283"/>
              <w:jc w:val="start"/>
              <w:rPr/>
            </w:pPr>
            <w:r>
              <w:rPr/>
              <w:t xml:space="preserve">12 (24. 5%) </w:t>
            </w:r>
          </w:p>
        </w:tc>
        <w:tc>
          <w:tcPr>
            <w:tcW w:w="871" w:type="dxa"/>
            <w:tcBorders/>
            <w:vAlign w:val="center"/>
          </w:tcPr>
          <w:p>
            <w:pPr>
              <w:pStyle w:val="TableContents"/>
              <w:bidi w:val="0"/>
              <w:spacing w:before="0" w:after="283"/>
              <w:jc w:val="start"/>
              <w:rPr>
                <w:sz w:val="4"/>
                <w:szCs w:val="4"/>
              </w:rPr>
            </w:pPr>
            <w:r>
              <w:rPr>
                <w:sz w:val="4"/>
                <w:szCs w:val="4"/>
              </w:rPr>
            </w:r>
          </w:p>
        </w:tc>
      </w:tr>
      <w:tr>
        <w:trPr/>
        <w:tc>
          <w:tcPr>
            <w:tcW w:w="2401" w:type="dxa"/>
            <w:tcBorders/>
            <w:vAlign w:val="center"/>
          </w:tcPr>
          <w:p>
            <w:pPr>
              <w:pStyle w:val="TableContents"/>
              <w:bidi w:val="0"/>
              <w:spacing w:before="0" w:after="283"/>
              <w:jc w:val="start"/>
              <w:rPr/>
            </w:pPr>
            <w:r>
              <w:rPr/>
              <w:t xml:space="preserve">Tazobactam-piperacillin </w:t>
            </w:r>
          </w:p>
        </w:tc>
        <w:tc>
          <w:tcPr>
            <w:tcW w:w="601" w:type="dxa"/>
            <w:tcBorders/>
            <w:vAlign w:val="center"/>
          </w:tcPr>
          <w:p>
            <w:pPr>
              <w:pStyle w:val="TableContents"/>
              <w:bidi w:val="0"/>
              <w:spacing w:before="0" w:after="283"/>
              <w:jc w:val="start"/>
              <w:rPr/>
            </w:pPr>
            <w:r>
              <w:rPr/>
              <w:t xml:space="preserve">7 (7. 6%) </w:t>
            </w:r>
          </w:p>
        </w:tc>
        <w:tc>
          <w:tcPr>
            <w:tcW w:w="511" w:type="dxa"/>
            <w:tcBorders/>
            <w:vAlign w:val="center"/>
          </w:tcPr>
          <w:p>
            <w:pPr>
              <w:pStyle w:val="TableContents"/>
              <w:bidi w:val="0"/>
              <w:spacing w:before="0" w:after="283"/>
              <w:jc w:val="start"/>
              <w:rPr/>
            </w:pPr>
            <w:r>
              <w:rPr/>
              <w:t xml:space="preserve">4 (8. 2%) </w:t>
            </w:r>
          </w:p>
        </w:tc>
        <w:tc>
          <w:tcPr>
            <w:tcW w:w="871" w:type="dxa"/>
            <w:tcBorders/>
            <w:vAlign w:val="center"/>
          </w:tcPr>
          <w:p>
            <w:pPr>
              <w:pStyle w:val="TableContents"/>
              <w:bidi w:val="0"/>
              <w:spacing w:before="0" w:after="283"/>
              <w:jc w:val="start"/>
              <w:rPr>
                <w:sz w:val="4"/>
                <w:szCs w:val="4"/>
              </w:rPr>
            </w:pPr>
            <w:r>
              <w:rPr>
                <w:sz w:val="4"/>
                <w:szCs w:val="4"/>
              </w:rPr>
            </w:r>
          </w:p>
        </w:tc>
      </w:tr>
      <w:tr>
        <w:trPr/>
        <w:tc>
          <w:tcPr>
            <w:tcW w:w="2401" w:type="dxa"/>
            <w:tcBorders/>
            <w:vAlign w:val="center"/>
          </w:tcPr>
          <w:p>
            <w:pPr>
              <w:pStyle w:val="TableContents"/>
              <w:bidi w:val="0"/>
              <w:spacing w:before="0" w:after="283"/>
              <w:jc w:val="start"/>
              <w:rPr/>
            </w:pPr>
            <w:r>
              <w:rPr/>
              <w:t xml:space="preserve">Complications </w:t>
            </w:r>
          </w:p>
        </w:tc>
        <w:tc>
          <w:tcPr>
            <w:tcW w:w="601" w:type="dxa"/>
            <w:tcBorders/>
            <w:vAlign w:val="center"/>
          </w:tcPr>
          <w:p>
            <w:pPr>
              <w:pStyle w:val="TableContents"/>
              <w:bidi w:val="0"/>
              <w:spacing w:before="0" w:after="283"/>
              <w:jc w:val="start"/>
              <w:rPr>
                <w:sz w:val="4"/>
                <w:szCs w:val="4"/>
              </w:rPr>
            </w:pPr>
            <w:r>
              <w:rPr>
                <w:sz w:val="4"/>
                <w:szCs w:val="4"/>
              </w:rPr>
            </w:r>
          </w:p>
        </w:tc>
        <w:tc>
          <w:tcPr>
            <w:tcW w:w="511"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sz w:val="4"/>
                <w:szCs w:val="4"/>
              </w:rPr>
            </w:pPr>
            <w:r>
              <w:rPr>
                <w:sz w:val="4"/>
                <w:szCs w:val="4"/>
              </w:rPr>
            </w:r>
          </w:p>
        </w:tc>
      </w:tr>
      <w:tr>
        <w:trPr/>
        <w:tc>
          <w:tcPr>
            <w:tcW w:w="2401" w:type="dxa"/>
            <w:tcBorders/>
            <w:vAlign w:val="center"/>
          </w:tcPr>
          <w:p>
            <w:pPr>
              <w:pStyle w:val="TableContents"/>
              <w:bidi w:val="0"/>
              <w:spacing w:before="0" w:after="283"/>
              <w:jc w:val="start"/>
              <w:rPr/>
            </w:pPr>
            <w:r>
              <w:rPr/>
              <w:t xml:space="preserve">DVT </w:t>
            </w:r>
          </w:p>
        </w:tc>
        <w:tc>
          <w:tcPr>
            <w:tcW w:w="601" w:type="dxa"/>
            <w:tcBorders/>
            <w:vAlign w:val="center"/>
          </w:tcPr>
          <w:p>
            <w:pPr>
              <w:pStyle w:val="TableContents"/>
              <w:bidi w:val="0"/>
              <w:spacing w:before="0" w:after="283"/>
              <w:jc w:val="start"/>
              <w:rPr/>
            </w:pPr>
            <w:r>
              <w:rPr/>
              <w:t xml:space="preserve">0 </w:t>
            </w:r>
          </w:p>
        </w:tc>
        <w:tc>
          <w:tcPr>
            <w:tcW w:w="511" w:type="dxa"/>
            <w:tcBorders/>
            <w:vAlign w:val="center"/>
          </w:tcPr>
          <w:p>
            <w:pPr>
              <w:pStyle w:val="TableContents"/>
              <w:bidi w:val="0"/>
              <w:spacing w:before="0" w:after="283"/>
              <w:jc w:val="start"/>
              <w:rPr/>
            </w:pPr>
            <w:r>
              <w:rPr/>
              <w:t xml:space="preserve">0 </w:t>
            </w:r>
          </w:p>
        </w:tc>
        <w:tc>
          <w:tcPr>
            <w:tcW w:w="871" w:type="dxa"/>
            <w:tcBorders/>
            <w:vAlign w:val="center"/>
          </w:tcPr>
          <w:p>
            <w:pPr>
              <w:pStyle w:val="TableContents"/>
              <w:bidi w:val="0"/>
              <w:spacing w:before="0" w:after="283"/>
              <w:jc w:val="start"/>
              <w:rPr/>
            </w:pPr>
            <w:r>
              <w:rPr/>
              <w:t xml:space="preserve">1 </w:t>
            </w:r>
          </w:p>
        </w:tc>
      </w:tr>
      <w:tr>
        <w:trPr/>
        <w:tc>
          <w:tcPr>
            <w:tcW w:w="2401" w:type="dxa"/>
            <w:tcBorders/>
            <w:vAlign w:val="center"/>
          </w:tcPr>
          <w:p>
            <w:pPr>
              <w:pStyle w:val="TableContents"/>
              <w:bidi w:val="0"/>
              <w:spacing w:before="0" w:after="283"/>
              <w:jc w:val="start"/>
              <w:rPr/>
            </w:pPr>
            <w:r>
              <w:rPr/>
              <w:t xml:space="preserve">PE </w:t>
            </w:r>
          </w:p>
        </w:tc>
        <w:tc>
          <w:tcPr>
            <w:tcW w:w="601" w:type="dxa"/>
            <w:tcBorders/>
            <w:vAlign w:val="center"/>
          </w:tcPr>
          <w:p>
            <w:pPr>
              <w:pStyle w:val="TableContents"/>
              <w:bidi w:val="0"/>
              <w:spacing w:before="0" w:after="283"/>
              <w:jc w:val="start"/>
              <w:rPr/>
            </w:pPr>
            <w:r>
              <w:rPr/>
              <w:t xml:space="preserve">0 </w:t>
            </w:r>
          </w:p>
        </w:tc>
        <w:tc>
          <w:tcPr>
            <w:tcW w:w="511" w:type="dxa"/>
            <w:tcBorders/>
            <w:vAlign w:val="center"/>
          </w:tcPr>
          <w:p>
            <w:pPr>
              <w:pStyle w:val="TableContents"/>
              <w:bidi w:val="0"/>
              <w:spacing w:before="0" w:after="283"/>
              <w:jc w:val="start"/>
              <w:rPr/>
            </w:pPr>
            <w:r>
              <w:rPr/>
              <w:t xml:space="preserve">1 (3%) </w:t>
            </w:r>
          </w:p>
        </w:tc>
        <w:tc>
          <w:tcPr>
            <w:tcW w:w="871" w:type="dxa"/>
            <w:tcBorders/>
            <w:vAlign w:val="center"/>
          </w:tcPr>
          <w:p>
            <w:pPr>
              <w:pStyle w:val="TableContents"/>
              <w:bidi w:val="0"/>
              <w:spacing w:before="0" w:after="283"/>
              <w:jc w:val="start"/>
              <w:rPr/>
            </w:pPr>
            <w:r>
              <w:rPr/>
              <w:t xml:space="preserve">0. 31 </w:t>
            </w:r>
          </w:p>
        </w:tc>
      </w:tr>
      <w:tr>
        <w:trPr/>
        <w:tc>
          <w:tcPr>
            <w:tcW w:w="2401" w:type="dxa"/>
            <w:tcBorders/>
            <w:vAlign w:val="center"/>
          </w:tcPr>
          <w:p>
            <w:pPr>
              <w:pStyle w:val="TableContents"/>
              <w:bidi w:val="0"/>
              <w:spacing w:before="0" w:after="283"/>
              <w:jc w:val="start"/>
              <w:rPr/>
            </w:pPr>
            <w:r>
              <w:rPr/>
              <w:t xml:space="preserve">Fall or decreased mobility </w:t>
            </w:r>
          </w:p>
        </w:tc>
        <w:tc>
          <w:tcPr>
            <w:tcW w:w="601" w:type="dxa"/>
            <w:tcBorders/>
            <w:vAlign w:val="center"/>
          </w:tcPr>
          <w:p>
            <w:pPr>
              <w:pStyle w:val="TableContents"/>
              <w:bidi w:val="0"/>
              <w:spacing w:before="0" w:after="283"/>
              <w:jc w:val="start"/>
              <w:rPr/>
            </w:pPr>
            <w:r>
              <w:rPr/>
              <w:t xml:space="preserve">11 (15. 9%) </w:t>
            </w:r>
          </w:p>
        </w:tc>
        <w:tc>
          <w:tcPr>
            <w:tcW w:w="511" w:type="dxa"/>
            <w:tcBorders/>
            <w:vAlign w:val="center"/>
          </w:tcPr>
          <w:p>
            <w:pPr>
              <w:pStyle w:val="TableContents"/>
              <w:bidi w:val="0"/>
              <w:spacing w:before="0" w:after="283"/>
              <w:jc w:val="start"/>
              <w:rPr/>
            </w:pPr>
            <w:r>
              <w:rPr/>
              <w:t xml:space="preserve">12 (38. 7%) </w:t>
            </w:r>
          </w:p>
        </w:tc>
        <w:tc>
          <w:tcPr>
            <w:tcW w:w="871" w:type="dxa"/>
            <w:tcBorders/>
            <w:vAlign w:val="center"/>
          </w:tcPr>
          <w:p>
            <w:pPr>
              <w:pStyle w:val="TableContents"/>
              <w:bidi w:val="0"/>
              <w:spacing w:before="0" w:after="283"/>
              <w:jc w:val="start"/>
              <w:rPr/>
            </w:pPr>
            <w:r>
              <w:rPr/>
              <w:t xml:space="preserve">0. 020 </w:t>
            </w:r>
          </w:p>
        </w:tc>
      </w:tr>
      <w:tr>
        <w:trPr/>
        <w:tc>
          <w:tcPr>
            <w:tcW w:w="2401" w:type="dxa"/>
            <w:tcBorders/>
            <w:vAlign w:val="center"/>
          </w:tcPr>
          <w:p>
            <w:pPr>
              <w:pStyle w:val="TableContents"/>
              <w:bidi w:val="0"/>
              <w:spacing w:before="0" w:after="283"/>
              <w:jc w:val="start"/>
              <w:rPr/>
            </w:pPr>
            <w:r>
              <w:rPr/>
              <w:t xml:space="preserve">Nosocomial infection </w:t>
            </w:r>
          </w:p>
        </w:tc>
        <w:tc>
          <w:tcPr>
            <w:tcW w:w="601" w:type="dxa"/>
            <w:tcBorders/>
            <w:vAlign w:val="center"/>
          </w:tcPr>
          <w:p>
            <w:pPr>
              <w:pStyle w:val="TableContents"/>
              <w:bidi w:val="0"/>
              <w:spacing w:before="0" w:after="283"/>
              <w:jc w:val="start"/>
              <w:rPr/>
            </w:pPr>
            <w:r>
              <w:rPr/>
              <w:t xml:space="preserve">1 (1. 4%) </w:t>
            </w:r>
          </w:p>
        </w:tc>
        <w:tc>
          <w:tcPr>
            <w:tcW w:w="511" w:type="dxa"/>
            <w:tcBorders/>
            <w:vAlign w:val="center"/>
          </w:tcPr>
          <w:p>
            <w:pPr>
              <w:pStyle w:val="TableContents"/>
              <w:bidi w:val="0"/>
              <w:spacing w:before="0" w:after="283"/>
              <w:jc w:val="start"/>
              <w:rPr/>
            </w:pPr>
            <w:r>
              <w:rPr/>
              <w:t xml:space="preserve">3 (9. 7%) </w:t>
            </w:r>
          </w:p>
        </w:tc>
        <w:tc>
          <w:tcPr>
            <w:tcW w:w="871" w:type="dxa"/>
            <w:tcBorders/>
            <w:vAlign w:val="center"/>
          </w:tcPr>
          <w:p>
            <w:pPr>
              <w:pStyle w:val="TableContents"/>
              <w:bidi w:val="0"/>
              <w:spacing w:before="0" w:after="283"/>
              <w:jc w:val="start"/>
              <w:rPr/>
            </w:pPr>
            <w:r>
              <w:rPr/>
              <w:t xml:space="preserve">0. 087 </w:t>
            </w:r>
          </w:p>
        </w:tc>
      </w:tr>
      <w:tr>
        <w:trPr/>
        <w:tc>
          <w:tcPr>
            <w:tcW w:w="2401" w:type="dxa"/>
            <w:tcBorders/>
            <w:vAlign w:val="center"/>
          </w:tcPr>
          <w:p>
            <w:pPr>
              <w:pStyle w:val="TableContents"/>
              <w:bidi w:val="0"/>
              <w:spacing w:before="0" w:after="283"/>
              <w:jc w:val="start"/>
              <w:rPr/>
            </w:pPr>
            <w:r>
              <w:rPr/>
              <w:t xml:space="preserve">Delirium </w:t>
            </w:r>
          </w:p>
        </w:tc>
        <w:tc>
          <w:tcPr>
            <w:tcW w:w="601" w:type="dxa"/>
            <w:tcBorders/>
            <w:vAlign w:val="center"/>
          </w:tcPr>
          <w:p>
            <w:pPr>
              <w:pStyle w:val="TableContents"/>
              <w:bidi w:val="0"/>
              <w:spacing w:before="0" w:after="283"/>
              <w:jc w:val="start"/>
              <w:rPr/>
            </w:pPr>
            <w:r>
              <w:rPr/>
              <w:t xml:space="preserve">1 (1. 4%) </w:t>
            </w:r>
          </w:p>
        </w:tc>
        <w:tc>
          <w:tcPr>
            <w:tcW w:w="511" w:type="dxa"/>
            <w:tcBorders/>
            <w:vAlign w:val="center"/>
          </w:tcPr>
          <w:p>
            <w:pPr>
              <w:pStyle w:val="TableContents"/>
              <w:bidi w:val="0"/>
              <w:spacing w:before="0" w:after="283"/>
              <w:jc w:val="start"/>
              <w:rPr/>
            </w:pPr>
            <w:r>
              <w:rPr/>
              <w:t xml:space="preserve">2 (6. 5%) </w:t>
            </w:r>
          </w:p>
        </w:tc>
        <w:tc>
          <w:tcPr>
            <w:tcW w:w="871" w:type="dxa"/>
            <w:tcBorders/>
            <w:vAlign w:val="center"/>
          </w:tcPr>
          <w:p>
            <w:pPr>
              <w:pStyle w:val="TableContents"/>
              <w:bidi w:val="0"/>
              <w:spacing w:before="0" w:after="283"/>
              <w:jc w:val="start"/>
              <w:rPr/>
            </w:pPr>
            <w:r>
              <w:rPr/>
              <w:t xml:space="preserve">0. 23 </w:t>
            </w:r>
          </w:p>
        </w:tc>
      </w:tr>
      <w:tr>
        <w:trPr/>
        <w:tc>
          <w:tcPr>
            <w:tcW w:w="2401" w:type="dxa"/>
            <w:tcBorders/>
            <w:vAlign w:val="center"/>
          </w:tcPr>
          <w:p>
            <w:pPr>
              <w:pStyle w:val="TableContents"/>
              <w:bidi w:val="0"/>
              <w:spacing w:before="0" w:after="283"/>
              <w:jc w:val="start"/>
              <w:rPr/>
            </w:pPr>
            <w:r>
              <w:rPr/>
              <w:t xml:space="preserve">Outcomes </w:t>
            </w:r>
          </w:p>
        </w:tc>
        <w:tc>
          <w:tcPr>
            <w:tcW w:w="601" w:type="dxa"/>
            <w:tcBorders/>
            <w:vAlign w:val="center"/>
          </w:tcPr>
          <w:p>
            <w:pPr>
              <w:pStyle w:val="TableContents"/>
              <w:bidi w:val="0"/>
              <w:spacing w:before="0" w:after="283"/>
              <w:jc w:val="start"/>
              <w:rPr>
                <w:sz w:val="4"/>
                <w:szCs w:val="4"/>
              </w:rPr>
            </w:pPr>
            <w:r>
              <w:rPr>
                <w:sz w:val="4"/>
                <w:szCs w:val="4"/>
              </w:rPr>
            </w:r>
          </w:p>
        </w:tc>
        <w:tc>
          <w:tcPr>
            <w:tcW w:w="511"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sz w:val="4"/>
                <w:szCs w:val="4"/>
              </w:rPr>
            </w:pPr>
            <w:r>
              <w:rPr>
                <w:sz w:val="4"/>
                <w:szCs w:val="4"/>
              </w:rPr>
            </w:r>
          </w:p>
        </w:tc>
      </w:tr>
      <w:tr>
        <w:trPr/>
        <w:tc>
          <w:tcPr>
            <w:tcW w:w="2401" w:type="dxa"/>
            <w:tcBorders/>
            <w:vAlign w:val="center"/>
          </w:tcPr>
          <w:p>
            <w:pPr>
              <w:pStyle w:val="TableContents"/>
              <w:bidi w:val="0"/>
              <w:spacing w:before="0" w:after="283"/>
              <w:jc w:val="start"/>
              <w:rPr/>
            </w:pPr>
            <w:r>
              <w:rPr/>
              <w:t xml:space="preserve">Death </w:t>
            </w:r>
          </w:p>
        </w:tc>
        <w:tc>
          <w:tcPr>
            <w:tcW w:w="601" w:type="dxa"/>
            <w:tcBorders/>
            <w:vAlign w:val="center"/>
          </w:tcPr>
          <w:p>
            <w:pPr>
              <w:pStyle w:val="TableContents"/>
              <w:bidi w:val="0"/>
              <w:spacing w:before="0" w:after="283"/>
              <w:jc w:val="start"/>
              <w:rPr/>
            </w:pPr>
            <w:r>
              <w:rPr/>
              <w:t xml:space="preserve">1 (1. 4%) </w:t>
            </w:r>
          </w:p>
        </w:tc>
        <w:tc>
          <w:tcPr>
            <w:tcW w:w="511" w:type="dxa"/>
            <w:tcBorders/>
            <w:vAlign w:val="center"/>
          </w:tcPr>
          <w:p>
            <w:pPr>
              <w:pStyle w:val="TableContents"/>
              <w:bidi w:val="0"/>
              <w:spacing w:before="0" w:after="283"/>
              <w:jc w:val="start"/>
              <w:rPr/>
            </w:pPr>
            <w:r>
              <w:rPr/>
              <w:t xml:space="preserve">1 (3. 0%) </w:t>
            </w:r>
          </w:p>
        </w:tc>
        <w:tc>
          <w:tcPr>
            <w:tcW w:w="871" w:type="dxa"/>
            <w:tcBorders/>
            <w:vAlign w:val="center"/>
          </w:tcPr>
          <w:p>
            <w:pPr>
              <w:pStyle w:val="TableContents"/>
              <w:bidi w:val="0"/>
              <w:spacing w:before="0" w:after="283"/>
              <w:jc w:val="start"/>
              <w:rPr/>
            </w:pPr>
            <w:r>
              <w:rPr/>
              <w:t xml:space="preserve">0. 531 </w:t>
            </w:r>
          </w:p>
        </w:tc>
      </w:tr>
      <w:tr>
        <w:trPr/>
        <w:tc>
          <w:tcPr>
            <w:tcW w:w="2401" w:type="dxa"/>
            <w:tcBorders/>
            <w:vAlign w:val="center"/>
          </w:tcPr>
          <w:p>
            <w:pPr>
              <w:pStyle w:val="TableContents"/>
              <w:bidi w:val="0"/>
              <w:spacing w:before="0" w:after="283"/>
              <w:jc w:val="start"/>
              <w:rPr/>
            </w:pPr>
            <w:r>
              <w:rPr/>
              <w:t xml:space="preserve">Needing surgical intervention </w:t>
            </w:r>
          </w:p>
        </w:tc>
        <w:tc>
          <w:tcPr>
            <w:tcW w:w="601" w:type="dxa"/>
            <w:tcBorders/>
            <w:vAlign w:val="center"/>
          </w:tcPr>
          <w:p>
            <w:pPr>
              <w:pStyle w:val="TableContents"/>
              <w:bidi w:val="0"/>
              <w:spacing w:before="0" w:after="283"/>
              <w:jc w:val="start"/>
              <w:rPr/>
            </w:pPr>
            <w:r>
              <w:rPr/>
              <w:t xml:space="preserve">3 (4. 3%) </w:t>
            </w:r>
          </w:p>
        </w:tc>
        <w:tc>
          <w:tcPr>
            <w:tcW w:w="511" w:type="dxa"/>
            <w:tcBorders/>
            <w:vAlign w:val="center"/>
          </w:tcPr>
          <w:p>
            <w:pPr>
              <w:pStyle w:val="TableContents"/>
              <w:bidi w:val="0"/>
              <w:spacing w:before="0" w:after="283"/>
              <w:jc w:val="start"/>
              <w:rPr/>
            </w:pPr>
            <w:r>
              <w:rPr/>
              <w:t xml:space="preserve">2 (6. 5%) </w:t>
            </w:r>
          </w:p>
        </w:tc>
        <w:tc>
          <w:tcPr>
            <w:tcW w:w="871" w:type="dxa"/>
            <w:tcBorders/>
            <w:vAlign w:val="center"/>
          </w:tcPr>
          <w:p>
            <w:pPr>
              <w:pStyle w:val="TableContents"/>
              <w:bidi w:val="0"/>
              <w:spacing w:before="0" w:after="283"/>
              <w:jc w:val="start"/>
              <w:rPr/>
            </w:pPr>
            <w:r>
              <w:rPr/>
              <w:t xml:space="preserve">0. 644 </w:t>
            </w:r>
          </w:p>
        </w:tc>
      </w:tr>
      <w:tr>
        <w:trPr/>
        <w:tc>
          <w:tcPr>
            <w:tcW w:w="2401" w:type="dxa"/>
            <w:tcBorders/>
            <w:vAlign w:val="center"/>
          </w:tcPr>
          <w:p>
            <w:pPr>
              <w:pStyle w:val="TableContents"/>
              <w:bidi w:val="0"/>
              <w:spacing w:before="0" w:after="283"/>
              <w:jc w:val="start"/>
              <w:rPr/>
            </w:pPr>
            <w:r>
              <w:rPr/>
              <w:t xml:space="preserve">ICU admission </w:t>
            </w:r>
          </w:p>
        </w:tc>
        <w:tc>
          <w:tcPr>
            <w:tcW w:w="601" w:type="dxa"/>
            <w:tcBorders/>
            <w:vAlign w:val="center"/>
          </w:tcPr>
          <w:p>
            <w:pPr>
              <w:pStyle w:val="TableContents"/>
              <w:bidi w:val="0"/>
              <w:spacing w:before="0" w:after="283"/>
              <w:jc w:val="start"/>
              <w:rPr/>
            </w:pPr>
            <w:r>
              <w:rPr/>
              <w:t xml:space="preserve">0 </w:t>
            </w:r>
          </w:p>
        </w:tc>
        <w:tc>
          <w:tcPr>
            <w:tcW w:w="511" w:type="dxa"/>
            <w:tcBorders/>
            <w:vAlign w:val="center"/>
          </w:tcPr>
          <w:p>
            <w:pPr>
              <w:pStyle w:val="TableContents"/>
              <w:bidi w:val="0"/>
              <w:spacing w:before="0" w:after="283"/>
              <w:jc w:val="start"/>
              <w:rPr/>
            </w:pPr>
            <w:r>
              <w:rPr/>
              <w:t xml:space="preserve">0 </w:t>
            </w:r>
          </w:p>
        </w:tc>
        <w:tc>
          <w:tcPr>
            <w:tcW w:w="871" w:type="dxa"/>
            <w:tcBorders/>
            <w:vAlign w:val="center"/>
          </w:tcPr>
          <w:p>
            <w:pPr>
              <w:pStyle w:val="TableContents"/>
              <w:bidi w:val="0"/>
              <w:spacing w:before="0" w:after="283"/>
              <w:jc w:val="start"/>
              <w:rPr/>
            </w:pPr>
            <w:r>
              <w:rPr/>
              <w:t xml:space="preserve">1 </w:t>
            </w:r>
          </w:p>
        </w:tc>
      </w:tr>
      <w:tr>
        <w:trPr/>
        <w:tc>
          <w:tcPr>
            <w:tcW w:w="2401" w:type="dxa"/>
            <w:tcBorders/>
            <w:vAlign w:val="center"/>
          </w:tcPr>
          <w:p>
            <w:pPr>
              <w:pStyle w:val="TableContents"/>
              <w:bidi w:val="0"/>
              <w:spacing w:before="0" w:after="283"/>
              <w:jc w:val="start"/>
              <w:rPr/>
            </w:pPr>
            <w:r>
              <w:rPr/>
              <w:t xml:space="preserve">Readmission within 28 days </w:t>
            </w:r>
          </w:p>
        </w:tc>
        <w:tc>
          <w:tcPr>
            <w:tcW w:w="601" w:type="dxa"/>
            <w:tcBorders/>
            <w:vAlign w:val="center"/>
          </w:tcPr>
          <w:p>
            <w:pPr>
              <w:pStyle w:val="TableContents"/>
              <w:bidi w:val="0"/>
              <w:spacing w:before="0" w:after="283"/>
              <w:jc w:val="start"/>
              <w:rPr/>
            </w:pPr>
            <w:r>
              <w:rPr/>
              <w:t xml:space="preserve">4 (5. 8%) </w:t>
            </w:r>
          </w:p>
        </w:tc>
        <w:tc>
          <w:tcPr>
            <w:tcW w:w="511" w:type="dxa"/>
            <w:tcBorders/>
            <w:vAlign w:val="center"/>
          </w:tcPr>
          <w:p>
            <w:pPr>
              <w:pStyle w:val="TableContents"/>
              <w:bidi w:val="0"/>
              <w:spacing w:before="0" w:after="283"/>
              <w:jc w:val="start"/>
              <w:rPr/>
            </w:pPr>
            <w:r>
              <w:rPr/>
              <w:t xml:space="preserve">0 </w:t>
            </w:r>
          </w:p>
        </w:tc>
        <w:tc>
          <w:tcPr>
            <w:tcW w:w="871" w:type="dxa"/>
            <w:tcBorders/>
            <w:vAlign w:val="center"/>
          </w:tcPr>
          <w:p>
            <w:pPr>
              <w:pStyle w:val="TableContents"/>
              <w:bidi w:val="0"/>
              <w:spacing w:before="0" w:after="283"/>
              <w:jc w:val="start"/>
              <w:rPr/>
            </w:pPr>
            <w:r>
              <w:rPr/>
              <w:t xml:space="preserve">0. 308 </w:t>
            </w:r>
          </w:p>
        </w:tc>
      </w:tr>
    </w:tbl>
    <w:p>
      <w:pPr>
        <w:pStyle w:val="TextBody"/>
        <w:bidi w:val="0"/>
        <w:spacing w:before="0" w:after="283"/>
        <w:jc w:val="start"/>
        <w:rPr/>
      </w:pPr>
      <w:r>
        <w:rPr/>
        <w:t xml:space="preserve">HiTH hospital in the home; DVT deep vein thrombosis; PE pulmonary embolism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https://assignbuster.com/cellulitis-in-older-patients-a-prospective-cohort-study/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Cellulitis in older patients – a prospec...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2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2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ulitis-in-older-patients-a-prospective-cohort-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Cellulitis in older patients – a prospective cohort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Cellulitis in older patients – a prospective cohort study</dc:title>
  <dc:subject>Others;</dc:subject>
  <dc:creator>AssignBuster</dc:creator>
  <cp:keywords/>
  <dc:description>CELLULITIS IN OLDER PATIENTS A PROSPECTIVE COHORT STUDY Older patient with cellulitis Abstract Aim: To examine differences in risk factors, clinical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