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"https://assignbuster.com/british-airways-case-study-discussion/"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British airways case study discussion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Traditionally, success in complaint handling has been measured by the lack of complaints, I. E. , a rise in complaints is negative.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not always true, as this case clearly goes to show. In the early ass’s BAA discovered that as many as a third of BAA passengers were in some way dissatisfied with their BAA flight, but that 69% of those passengers never registered a complaint. BAA had been trying to concentrate on “ melting the complainant iceberg” and was especially determined to get the 69% of satisfied customers who currently remained silent to speak 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there a need for a shift in strategic grid ? The 69% don’t bother to complain as they feel it’s either too much hassle or they feel nothing will ever come of it. Delving further Into complaint data shows that 90% of Executive Club members experience a problem – large or small – sometime during the flying year’ Encourage customers to communicate.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opportunity occurs somewhere on the network every 1 5 seconds. Make It more convenient to register complaints. Make It truly worth their while. Market your CRM program.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more could be done for British Airways? Looking at the monthly data allows us to track any movement of a service Issue In terms of complaints and defection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Again, It’s worth looking at seat allocation. It rose steadily throughout the quarter, peaking at 16. 6% of customers who experience a problem, making It number one. (The quarterly figure Is an average over the period. ) Next month, we will look at the benefits of after- service Customer Retention and how this can complement solving the problems above.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https://assignbuster.com/british-airways-case-study-discussion/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British airways case study discussion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British airways case study discussion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airways case study discussion</dc:title>
  <dc:subject>Business;</dc:subject>
  <dc:creator>AssignBuster</dc:creator>
  <cp:keywords/>
  <dc:description>Looking at the monthly data allows us to track any movement of a service Issue In terms of complaints and defection rate.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