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Zipf’s law for andhra pradesh cities and towns (1951 – 2001) essay</w:t>
        </w:r>
      </w:hyperlink>
      <w:bookmarkEnd w:id="0"/>
    </w:p>
    <w:p>
      <w:r>
        <w:br w:type="page"/>
      </w:r>
    </w:p>
    <w:p>
      <w:pPr>
        <w:pStyle w:val="TextBody"/>
        <w:bidi w:val="0"/>
        <w:jc w:val="start"/>
        <w:rPr/>
      </w:pPr>
      <w:r>
        <w:rPr/>
        <w:t xml:space="preserve">Zipf’s Law for Andhra Pradesh Cities and Towns ( 1951 – 2001 ) </w:t>
      </w:r>
    </w:p>
    <w:p>
      <w:pPr>
        <w:pStyle w:val="TextBody"/>
        <w:bidi w:val="0"/>
        <w:spacing w:before="0" w:after="283"/>
        <w:jc w:val="start"/>
        <w:rPr/>
      </w:pPr>
      <w:r>
        <w:rPr/>
        <w:t xml:space="preserve">Abstraction </w:t>
      </w:r>
    </w:p>
    <w:p>
      <w:pPr>
        <w:pStyle w:val="TextBody"/>
        <w:bidi w:val="0"/>
        <w:spacing w:before="0" w:after="283"/>
        <w:jc w:val="start"/>
        <w:rPr/>
      </w:pPr>
      <w:r>
        <w:rPr/>
        <w:t xml:space="preserve">The distribution of urban population takes topographic point among colonies of differing sizes along a continuum from little towns to large metropoliss. The procedure of urban growing is closely related to the size distribution of cities/towns. Merely a limited figure of statistical distributions have been used to analyze the size distribution of metropoliss of states or parts. Basically, there have been merely three: the Lognormal distribution, the Pareto distribution and a peculiar instance of the later, the rank size distribution, known popularly as Zipf’s jurisprudence. Auerbach ( 1913 ) , Singer ( 1936 ) and Zipf’s ( 1949 ) demonstrated that the metropolis sizes distribution could be approximated by a Pareto Distribution: Y = Ax </w:t>
      </w:r>
      <w:r>
        <w:rPr>
          <w:position w:val="8"/>
          <w:sz w:val="19"/>
        </w:rPr>
        <w:t xml:space="preserve">-? </w:t>
      </w:r>
      <w:r>
        <w:rPr/>
        <w:t xml:space="preserve">. Zipf’s jurisprudence collapses into the normally used rank size regulation. A better apprehension of the Zipf’s coefficient is important. The cogency of the rank size regulation flexible joints on this advocate holding a value near to one. In this probe we have computed the extent of downward prejudice of Zipf’s jurisprudence and studied form of the Pareto Coefficient. </w:t>
      </w:r>
    </w:p>
    <w:p>
      <w:pPr>
        <w:pStyle w:val="TextBody"/>
        <w:bidi w:val="0"/>
        <w:spacing w:before="0" w:after="283"/>
        <w:jc w:val="start"/>
        <w:rPr/>
      </w:pPr>
      <w:r>
        <w:rPr/>
        <w:t xml:space="preserve">Zipf’s jurisprudence for Andhra Pradesh Cities and Towns ( 1951-2001 ) </w:t>
      </w:r>
    </w:p>
    <w:p>
      <w:pPr>
        <w:pStyle w:val="TextBody"/>
        <w:bidi w:val="0"/>
        <w:spacing w:before="0" w:after="283"/>
        <w:jc w:val="start"/>
        <w:rPr/>
      </w:pPr>
      <w:r>
        <w:rPr/>
        <w:t xml:space="preserve">1. Introduction </w:t>
      </w:r>
    </w:p>
    <w:p>
      <w:pPr>
        <w:pStyle w:val="TextBody"/>
        <w:bidi w:val="0"/>
        <w:spacing w:before="0" w:after="283"/>
        <w:jc w:val="start"/>
        <w:rPr/>
      </w:pPr>
      <w:r>
        <w:rPr/>
        <w:t xml:space="preserve">Many empirical informations that obey power jurisprudence distribution can frequently be observed in both natural and societal scientific disciplines. For illustration the relationship between the frequence and magnitude of temblors, the size distribution of islands, wealth and income distribution in societies are known to obey the power-law distribution. The distribution of urban population takes topographic point among colonies of differing sizes along a continuum from little towns to large metropoliss. The survey of urban growing by size category of metropoliss and towns could assist us to understand the phases of urban development. The procedure of urban growing is closely related to size distribution of metropoliss and towns. </w:t>
      </w:r>
    </w:p>
    <w:p>
      <w:pPr>
        <w:pStyle w:val="TextBody"/>
        <w:bidi w:val="0"/>
        <w:spacing w:before="0" w:after="283"/>
        <w:jc w:val="start"/>
        <w:rPr/>
      </w:pPr>
      <w:r>
        <w:rPr/>
        <w:t xml:space="preserve">Auerbach ( 1913 ) , Singer ( 1936 ) and Zipf ( 1949 ) demonstrated that the City Size Distribution could be approximated by a Pareto distribution </w:t>
      </w:r>
    </w:p>
    <w:p>
      <w:pPr>
        <w:pStyle w:val="TextBody"/>
        <w:bidi w:val="0"/>
        <w:spacing w:before="0" w:after="283"/>
        <w:jc w:val="start"/>
        <w:rPr/>
      </w:pPr>
      <w:r>
        <w:rPr/>
        <w:t xml:space="preserve">Y = Ax </w:t>
      </w:r>
      <w:r>
        <w:rPr>
          <w:position w:val="8"/>
          <w:sz w:val="19"/>
        </w:rPr>
        <w:t xml:space="preserve">– ? </w:t>
      </w:r>
      <w:r>
        <w:rPr/>
        <w:t xml:space="preserve">( or ) log Y = log A – ? log ten </w:t>
      </w:r>
    </w:p>
    <w:p>
      <w:pPr>
        <w:pStyle w:val="TextBody"/>
        <w:bidi w:val="0"/>
        <w:spacing w:before="0" w:after="283"/>
        <w:jc w:val="start"/>
        <w:rPr/>
      </w:pPr>
      <w:r>
        <w:rPr/>
        <w:t xml:space="preserve">where, x is the population of a metropolis ; y is the rank of the metropolis if metropoliss are ordered from the larges metropolis to the smallest, A and ? are invariables. If ?= 1, Zipf’s jurisprudence collapses into the normally used rank size regulation. This implies that in the instance of metropoliss, the 2nd largest metropolis is half the size of the first and the 3rd largest metropolis is one 3rd the size of the largest and so on. If ? &amp; A ; gt ; 1, it suggests that the 2nd largest metropolis is more than half of the largest metropolis and the 3rd largest metropolis is more than a 3rd of the largest metropolis and so on. If ? &amp; A ; lt ; 1, suggests that the 2nd largest metropolis is smaller than the half of the largest metropolis and so on. Linearizing this relationship between rank and size utilizing a long transmutation it is any to gauge negative expand. </w:t>
      </w:r>
    </w:p>
    <w:p>
      <w:pPr>
        <w:pStyle w:val="TextBody"/>
        <w:bidi w:val="0"/>
        <w:spacing w:before="0" w:after="283"/>
        <w:jc w:val="start"/>
        <w:rPr/>
      </w:pPr>
      <w:r>
        <w:rPr/>
        <w:t xml:space="preserve">2. Zipf’s jurisprudence: A brief literature reappraisal </w:t>
      </w:r>
    </w:p>
    <w:p>
      <w:pPr>
        <w:pStyle w:val="TextBody"/>
        <w:bidi w:val="0"/>
        <w:spacing w:before="0" w:after="283"/>
        <w:jc w:val="start"/>
        <w:rPr/>
      </w:pPr>
      <w:r>
        <w:rPr/>
        <w:t xml:space="preserve">Many research workers estimated the Pareto advocate to prove the Zipf’s jurisprudence. When the value of the Pareto advocate is non different signifier one, so it is said that the Zipf’s jurisprudence holds, otherwise Zipf’s jurisprudence is rejected. In a classical paper, Rosen and Resnick ( 1980 ) find that the advocate in 32 out of 44 states exceeded one. Using a new and larger cross-country informations, Soo ( 2005 ) rejects the Zipf’s jurisprudence for 53 out of 73 states utilizing ordinary least squares ( OLS ) and 30 out of 73 utilizing Hill calculator. The big scattering of advocates is a divergence from Zipf’s jurisprudence. However, this divergence is to interpreted as robust grounds against Zipf’s jurisprudence. Parr ( 1985 ) has applied Pareto jurisprudence of income distribution for the analysis of metropolis constructions. He has computed Pareto coefficient as a step of interurban concentration and shown how this coefficient varies through clip within a state. On the footing of grounds from 12 states, he has stated that over a clip a state tends to expose a U-shaped form in the grade of interurban concentration and explored the assorted bases for the temporal form of concentration within a state. Gabaix and Ioaanides ( 2004 ) , for case, demonstrate that the OLS arrested development well underestimates the standard mistake so as to reject Zipf’s jurisprudence much excessively frequently. Nitsche ( 2005 ) analysed 515 estimations from 229 surveies of the rank size relationship and found that two tierce of the estimations coefficients and between 0. 80 and 1. 20 with average estimation of 1. 09. Eeckhout ( 2004 ) suggests that the value of the advocate is sensitive to the pick of sample size. Soo ( 2007 ) performed a trial of Zipf’s jurisprudence utilizing informations for Malayan Cities from five population nose counts ( 1957, 1970, 1980, 1991 and 2001 ) and concluded that Zipf jurisprudence is rejected for the periods except 1957, in favor of a metropolis size distribution that is more unequal than would be predicted by Zipf’s jurisprudence. Subbarayan ( 2009 ) studied in item the size distribution of metropoliss in Tamilnadu ( 1901-2001 ) . </w:t>
      </w:r>
    </w:p>
    <w:p>
      <w:pPr>
        <w:pStyle w:val="TextBody"/>
        <w:bidi w:val="0"/>
        <w:spacing w:before="0" w:after="283"/>
        <w:jc w:val="start"/>
        <w:rPr/>
      </w:pPr>
      <w:r>
        <w:rPr/>
        <w:t xml:space="preserve">Most of the old probes are restricted to arrested developments of log size on long rank for a fixed sample. One restriction is that the fixed sample can non know apart the instance that Zipf’s jurisprudence is non to be rejected, it is a opportunity consequence that a certain sample size from the instance that the true distribution of the metropolis size is non Pareto distribution. A better apprehension of the Zipf coefficient is important. The cogency of the rank size regulation flexible joints on this advocate holding a value near to one. In this probe we have computed the extent of downward prejudice of Zipf’s jurisprudence and studied form of the Pareto coefficient. </w:t>
      </w:r>
    </w:p>
    <w:p>
      <w:pPr>
        <w:pStyle w:val="TextBody"/>
        <w:bidi w:val="0"/>
        <w:spacing w:before="0" w:after="283"/>
        <w:jc w:val="start"/>
        <w:rPr/>
      </w:pPr>
      <w:r>
        <w:rPr/>
        <w:t xml:space="preserve">3. Data, Model and Methodology </w:t>
      </w:r>
    </w:p>
    <w:p>
      <w:pPr>
        <w:pStyle w:val="TextBody"/>
        <w:bidi w:val="0"/>
        <w:spacing w:before="0" w:after="283"/>
        <w:jc w:val="start"/>
        <w:rPr/>
      </w:pPr>
      <w:r>
        <w:rPr/>
        <w:t xml:space="preserve">3. 1. City Size Distribution in Andhra Pradesh ( 1951-2001 ) </w:t>
      </w:r>
    </w:p>
    <w:p>
      <w:pPr>
        <w:pStyle w:val="TextBody"/>
        <w:bidi w:val="0"/>
        <w:spacing w:before="0" w:after="283"/>
        <w:jc w:val="start"/>
        <w:rPr/>
      </w:pPr>
      <w:r>
        <w:rPr/>
        <w:t xml:space="preserve">A demographic profile of Andhra Pradesh and India based on 2001 nose count is given in the undermentioned tabular array. </w:t>
      </w:r>
    </w:p>
    <w:p>
      <w:pPr>
        <w:pStyle w:val="TextBody"/>
        <w:bidi w:val="0"/>
        <w:spacing w:before="0" w:after="283"/>
        <w:jc w:val="start"/>
        <w:rPr/>
      </w:pPr>
      <w:r>
        <w:rPr/>
        <w:t xml:space="preserve">Table 1: Demographic profile of Andhra Pradesh and India ( 2001 Census ) </w:t>
      </w:r>
    </w:p>
    <w:tbl>
      <w:tblPr>
        <w:tblW w:w="8808" w:type="dxa"/>
        <w:jc w:val="start"/>
        <w:tblInd w:w="0" w:type="dxa"/>
        <w:tblLayout w:type="fixed"/>
        <w:tblCellMar>
          <w:top w:w="28" w:type="dxa"/>
          <w:start w:w="28" w:type="dxa"/>
          <w:bottom w:w="28" w:type="dxa"/>
          <w:end w:w="28" w:type="dxa"/>
        </w:tblCellMar>
      </w:tblPr>
      <w:tblGrid>
        <w:gridCol w:w="3961"/>
        <w:gridCol w:w="2926"/>
        <w:gridCol w:w="1921"/>
      </w:tblGrid>
      <w:tr>
        <w:trPr/>
        <w:tc>
          <w:tcPr>
            <w:tcW w:w="3961" w:type="dxa"/>
            <w:tcBorders/>
            <w:vAlign w:val="center"/>
          </w:tcPr>
          <w:p>
            <w:pPr>
              <w:pStyle w:val="TableContents"/>
              <w:bidi w:val="0"/>
              <w:spacing w:before="0" w:after="283"/>
              <w:jc w:val="start"/>
              <w:rPr>
                <w:sz w:val="4"/>
                <w:szCs w:val="4"/>
              </w:rPr>
            </w:pPr>
            <w:r>
              <w:rPr>
                <w:sz w:val="4"/>
                <w:szCs w:val="4"/>
              </w:rPr>
            </w:r>
          </w:p>
        </w:tc>
        <w:tc>
          <w:tcPr>
            <w:tcW w:w="2926" w:type="dxa"/>
            <w:tcBorders/>
            <w:vAlign w:val="center"/>
          </w:tcPr>
          <w:p>
            <w:pPr>
              <w:pStyle w:val="TableContents"/>
              <w:bidi w:val="0"/>
              <w:spacing w:before="0" w:after="283"/>
              <w:jc w:val="start"/>
              <w:rPr/>
            </w:pPr>
            <w:r>
              <w:rPr/>
              <w:t xml:space="preserve">Andhra Pradesh ( in million ) </w:t>
            </w:r>
          </w:p>
        </w:tc>
        <w:tc>
          <w:tcPr>
            <w:tcW w:w="1921" w:type="dxa"/>
            <w:tcBorders/>
            <w:vAlign w:val="center"/>
          </w:tcPr>
          <w:p>
            <w:pPr>
              <w:pStyle w:val="TableContents"/>
              <w:bidi w:val="0"/>
              <w:spacing w:before="0" w:after="283"/>
              <w:jc w:val="start"/>
              <w:rPr/>
            </w:pPr>
            <w:r>
              <w:rPr/>
              <w:t xml:space="preserve">India ( in million ) </w:t>
            </w:r>
          </w:p>
        </w:tc>
      </w:tr>
      <w:tr>
        <w:trPr/>
        <w:tc>
          <w:tcPr>
            <w:tcW w:w="3961" w:type="dxa"/>
            <w:tcBorders/>
            <w:vAlign w:val="center"/>
          </w:tcPr>
          <w:p>
            <w:pPr>
              <w:pStyle w:val="TableContents"/>
              <w:bidi w:val="0"/>
              <w:spacing w:before="0" w:after="283"/>
              <w:jc w:val="start"/>
              <w:rPr/>
            </w:pPr>
            <w:r>
              <w:rPr/>
              <w:t xml:space="preserve">Entire Population </w:t>
            </w:r>
          </w:p>
        </w:tc>
        <w:tc>
          <w:tcPr>
            <w:tcW w:w="2926" w:type="dxa"/>
            <w:tcBorders/>
            <w:vAlign w:val="center"/>
          </w:tcPr>
          <w:p>
            <w:pPr>
              <w:pStyle w:val="TableContents"/>
              <w:bidi w:val="0"/>
              <w:spacing w:before="0" w:after="283"/>
              <w:jc w:val="start"/>
              <w:rPr/>
            </w:pPr>
            <w:r>
              <w:rPr/>
              <w:t xml:space="preserve">76. 21 </w:t>
            </w:r>
          </w:p>
        </w:tc>
        <w:tc>
          <w:tcPr>
            <w:tcW w:w="1921" w:type="dxa"/>
            <w:tcBorders/>
            <w:vAlign w:val="center"/>
          </w:tcPr>
          <w:p>
            <w:pPr>
              <w:pStyle w:val="TableContents"/>
              <w:bidi w:val="0"/>
              <w:spacing w:before="0" w:after="283"/>
              <w:jc w:val="start"/>
              <w:rPr/>
            </w:pPr>
            <w:r>
              <w:rPr/>
              <w:t xml:space="preserve">1028. 73 </w:t>
            </w:r>
          </w:p>
        </w:tc>
      </w:tr>
      <w:tr>
        <w:trPr/>
        <w:tc>
          <w:tcPr>
            <w:tcW w:w="3961" w:type="dxa"/>
            <w:tcBorders/>
            <w:vAlign w:val="center"/>
          </w:tcPr>
          <w:p>
            <w:pPr>
              <w:pStyle w:val="TableContents"/>
              <w:bidi w:val="0"/>
              <w:spacing w:before="0" w:after="283"/>
              <w:jc w:val="start"/>
              <w:rPr/>
            </w:pPr>
            <w:r>
              <w:rPr/>
              <w:t xml:space="preserve">Decadal Population Growth </w:t>
            </w:r>
          </w:p>
        </w:tc>
        <w:tc>
          <w:tcPr>
            <w:tcW w:w="2926" w:type="dxa"/>
            <w:tcBorders/>
            <w:vAlign w:val="center"/>
          </w:tcPr>
          <w:p>
            <w:pPr>
              <w:pStyle w:val="TableContents"/>
              <w:bidi w:val="0"/>
              <w:spacing w:before="0" w:after="283"/>
              <w:jc w:val="start"/>
              <w:rPr/>
            </w:pPr>
            <w:r>
              <w:rPr/>
              <w:t xml:space="preserve">14. 59 </w:t>
            </w:r>
          </w:p>
        </w:tc>
        <w:tc>
          <w:tcPr>
            <w:tcW w:w="1921" w:type="dxa"/>
            <w:tcBorders/>
            <w:vAlign w:val="center"/>
          </w:tcPr>
          <w:p>
            <w:pPr>
              <w:pStyle w:val="TableContents"/>
              <w:bidi w:val="0"/>
              <w:spacing w:before="0" w:after="283"/>
              <w:jc w:val="start"/>
              <w:rPr/>
            </w:pPr>
            <w:r>
              <w:rPr/>
              <w:t xml:space="preserve">21. 54 </w:t>
            </w:r>
          </w:p>
        </w:tc>
      </w:tr>
      <w:tr>
        <w:trPr/>
        <w:tc>
          <w:tcPr>
            <w:tcW w:w="3961" w:type="dxa"/>
            <w:tcBorders/>
            <w:vAlign w:val="center"/>
          </w:tcPr>
          <w:p>
            <w:pPr>
              <w:pStyle w:val="TableContents"/>
              <w:bidi w:val="0"/>
              <w:spacing w:before="0" w:after="283"/>
              <w:jc w:val="start"/>
              <w:rPr/>
            </w:pPr>
            <w:r>
              <w:rPr/>
              <w:t xml:space="preserve">Population Density ( per sq. km. ) </w:t>
            </w:r>
          </w:p>
        </w:tc>
        <w:tc>
          <w:tcPr>
            <w:tcW w:w="2926" w:type="dxa"/>
            <w:tcBorders/>
            <w:vAlign w:val="center"/>
          </w:tcPr>
          <w:p>
            <w:pPr>
              <w:pStyle w:val="TableContents"/>
              <w:bidi w:val="0"/>
              <w:spacing w:before="0" w:after="283"/>
              <w:jc w:val="start"/>
              <w:rPr/>
            </w:pPr>
            <w:r>
              <w:rPr/>
              <w:t xml:space="preserve">277 </w:t>
            </w:r>
          </w:p>
        </w:tc>
        <w:tc>
          <w:tcPr>
            <w:tcW w:w="1921" w:type="dxa"/>
            <w:tcBorders/>
            <w:vAlign w:val="center"/>
          </w:tcPr>
          <w:p>
            <w:pPr>
              <w:pStyle w:val="TableContents"/>
              <w:bidi w:val="0"/>
              <w:spacing w:before="0" w:after="283"/>
              <w:jc w:val="start"/>
              <w:rPr/>
            </w:pPr>
            <w:r>
              <w:rPr/>
              <w:t xml:space="preserve">324 </w:t>
            </w:r>
          </w:p>
        </w:tc>
      </w:tr>
      <w:tr>
        <w:trPr/>
        <w:tc>
          <w:tcPr>
            <w:tcW w:w="3961" w:type="dxa"/>
            <w:tcBorders/>
            <w:vAlign w:val="center"/>
          </w:tcPr>
          <w:p>
            <w:pPr>
              <w:pStyle w:val="TableContents"/>
              <w:bidi w:val="0"/>
              <w:spacing w:before="0" w:after="283"/>
              <w:jc w:val="start"/>
              <w:rPr/>
            </w:pPr>
            <w:r>
              <w:rPr/>
              <w:t xml:space="preserve">Sexual activity ratio </w:t>
            </w:r>
          </w:p>
        </w:tc>
        <w:tc>
          <w:tcPr>
            <w:tcW w:w="2926" w:type="dxa"/>
            <w:tcBorders/>
            <w:vAlign w:val="center"/>
          </w:tcPr>
          <w:p>
            <w:pPr>
              <w:pStyle w:val="TableContents"/>
              <w:bidi w:val="0"/>
              <w:spacing w:before="0" w:after="283"/>
              <w:jc w:val="start"/>
              <w:rPr/>
            </w:pPr>
            <w:r>
              <w:rPr/>
              <w:t xml:space="preserve">978 </w:t>
            </w:r>
          </w:p>
        </w:tc>
        <w:tc>
          <w:tcPr>
            <w:tcW w:w="1921" w:type="dxa"/>
            <w:tcBorders/>
            <w:vAlign w:val="center"/>
          </w:tcPr>
          <w:p>
            <w:pPr>
              <w:pStyle w:val="TableContents"/>
              <w:bidi w:val="0"/>
              <w:spacing w:before="0" w:after="283"/>
              <w:jc w:val="start"/>
              <w:rPr/>
            </w:pPr>
            <w:r>
              <w:rPr/>
              <w:t xml:space="preserve">933 </w:t>
            </w:r>
          </w:p>
        </w:tc>
      </w:tr>
      <w:tr>
        <w:trPr/>
        <w:tc>
          <w:tcPr>
            <w:tcW w:w="3961" w:type="dxa"/>
            <w:tcBorders/>
            <w:vAlign w:val="center"/>
          </w:tcPr>
          <w:p>
            <w:pPr>
              <w:pStyle w:val="TableContents"/>
              <w:bidi w:val="0"/>
              <w:spacing w:before="0" w:after="283"/>
              <w:jc w:val="start"/>
              <w:rPr/>
            </w:pPr>
            <w:r>
              <w:rPr/>
              <w:t xml:space="preserve">Literacy </w:t>
            </w:r>
          </w:p>
        </w:tc>
        <w:tc>
          <w:tcPr>
            <w:tcW w:w="2926" w:type="dxa"/>
            <w:tcBorders/>
            <w:vAlign w:val="center"/>
          </w:tcPr>
          <w:p>
            <w:pPr>
              <w:pStyle w:val="TableContents"/>
              <w:bidi w:val="0"/>
              <w:spacing w:before="0" w:after="283"/>
              <w:jc w:val="start"/>
              <w:rPr/>
            </w:pPr>
            <w:r>
              <w:rPr/>
              <w:t xml:space="preserve">60. 47 </w:t>
            </w:r>
          </w:p>
        </w:tc>
        <w:tc>
          <w:tcPr>
            <w:tcW w:w="1921" w:type="dxa"/>
            <w:tcBorders/>
            <w:vAlign w:val="center"/>
          </w:tcPr>
          <w:p>
            <w:pPr>
              <w:pStyle w:val="TableContents"/>
              <w:bidi w:val="0"/>
              <w:spacing w:before="0" w:after="283"/>
              <w:jc w:val="start"/>
              <w:rPr/>
            </w:pPr>
            <w:r>
              <w:rPr/>
              <w:t xml:space="preserve">64. 84 </w:t>
            </w:r>
          </w:p>
        </w:tc>
      </w:tr>
      <w:tr>
        <w:trPr/>
        <w:tc>
          <w:tcPr>
            <w:tcW w:w="3961" w:type="dxa"/>
            <w:tcBorders/>
            <w:vAlign w:val="center"/>
          </w:tcPr>
          <w:p>
            <w:pPr>
              <w:pStyle w:val="TableContents"/>
              <w:bidi w:val="0"/>
              <w:spacing w:before="0" w:after="283"/>
              <w:jc w:val="start"/>
              <w:rPr/>
            </w:pPr>
            <w:r>
              <w:rPr/>
              <w:t xml:space="preserve">Percentage of urban to entire population </w:t>
            </w:r>
          </w:p>
        </w:tc>
        <w:tc>
          <w:tcPr>
            <w:tcW w:w="2926" w:type="dxa"/>
            <w:tcBorders/>
            <w:vAlign w:val="center"/>
          </w:tcPr>
          <w:p>
            <w:pPr>
              <w:pStyle w:val="TableContents"/>
              <w:bidi w:val="0"/>
              <w:spacing w:before="0" w:after="283"/>
              <w:jc w:val="start"/>
              <w:rPr/>
            </w:pPr>
            <w:r>
              <w:rPr/>
              <w:t xml:space="preserve">27. 04 </w:t>
            </w:r>
          </w:p>
        </w:tc>
        <w:tc>
          <w:tcPr>
            <w:tcW w:w="1921" w:type="dxa"/>
            <w:tcBorders/>
            <w:vAlign w:val="center"/>
          </w:tcPr>
          <w:p>
            <w:pPr>
              <w:pStyle w:val="TableContents"/>
              <w:bidi w:val="0"/>
              <w:spacing w:before="0" w:after="283"/>
              <w:jc w:val="start"/>
              <w:rPr/>
            </w:pPr>
            <w:r>
              <w:rPr/>
              <w:t xml:space="preserve">27. 78 </w:t>
            </w:r>
          </w:p>
        </w:tc>
      </w:tr>
    </w:tbl>
    <w:p>
      <w:pPr>
        <w:pStyle w:val="TextBody"/>
        <w:bidi w:val="0"/>
        <w:spacing w:before="0" w:after="283"/>
        <w:jc w:val="start"/>
        <w:rPr/>
      </w:pPr>
      <w:r>
        <w:rPr/>
        <w:t xml:space="preserve">Definition of Urban country </w:t>
      </w:r>
    </w:p>
    <w:p>
      <w:pPr>
        <w:pStyle w:val="TextBody"/>
        <w:bidi w:val="0"/>
        <w:spacing w:before="0" w:after="283"/>
        <w:jc w:val="start"/>
        <w:rPr/>
      </w:pPr>
      <w:r>
        <w:rPr/>
        <w:t xml:space="preserve">The definition of an urban unit in the Census of India 2001 is as follows: </w:t>
      </w:r>
    </w:p>
    <w:p>
      <w:pPr>
        <w:pStyle w:val="TextBody"/>
        <w:numPr>
          <w:ilvl w:val="0"/>
          <w:numId w:val="2"/>
        </w:numPr>
        <w:tabs>
          <w:tab w:val="clear" w:pos="1134"/>
          <w:tab w:val="left" w:pos="707" w:leader="none"/>
        </w:tabs>
        <w:bidi w:val="0"/>
        <w:spacing w:before="0" w:after="0"/>
        <w:ind w:start="707" w:hanging="283"/>
        <w:jc w:val="start"/>
        <w:rPr/>
      </w:pPr>
      <w:r>
        <w:rPr/>
        <w:t xml:space="preserve">All topographic points with a Municipal Corporation, Municipality, Cantonment Board or Notified Town Area Committee, etc. </w:t>
      </w:r>
    </w:p>
    <w:p>
      <w:pPr>
        <w:pStyle w:val="TextBody"/>
        <w:numPr>
          <w:ilvl w:val="0"/>
          <w:numId w:val="2"/>
        </w:numPr>
        <w:tabs>
          <w:tab w:val="clear" w:pos="1134"/>
          <w:tab w:val="left" w:pos="707" w:leader="none"/>
        </w:tabs>
        <w:bidi w:val="0"/>
        <w:ind w:start="707" w:hanging="283"/>
        <w:jc w:val="start"/>
        <w:rPr/>
      </w:pPr>
      <w:r>
        <w:rPr/>
        <w:t xml:space="preserve">All other topographic points that satisfied the undermentioned standards: </w:t>
      </w:r>
    </w:p>
    <w:p>
      <w:pPr>
        <w:pStyle w:val="TextBody"/>
        <w:numPr>
          <w:ilvl w:val="0"/>
          <w:numId w:val="3"/>
        </w:numPr>
        <w:tabs>
          <w:tab w:val="clear" w:pos="1134"/>
          <w:tab w:val="left" w:pos="707" w:leader="none"/>
        </w:tabs>
        <w:bidi w:val="0"/>
        <w:spacing w:before="0" w:after="0"/>
        <w:ind w:start="707" w:hanging="283"/>
        <w:jc w:val="start"/>
        <w:rPr/>
      </w:pPr>
      <w:r>
        <w:rPr/>
        <w:t xml:space="preserve">A minimal population of 5000, </w:t>
      </w:r>
    </w:p>
    <w:p>
      <w:pPr>
        <w:pStyle w:val="TextBody"/>
        <w:numPr>
          <w:ilvl w:val="0"/>
          <w:numId w:val="3"/>
        </w:numPr>
        <w:tabs>
          <w:tab w:val="clear" w:pos="1134"/>
          <w:tab w:val="left" w:pos="707" w:leader="none"/>
        </w:tabs>
        <w:bidi w:val="0"/>
        <w:spacing w:before="0" w:after="0"/>
        <w:ind w:start="707" w:hanging="283"/>
        <w:jc w:val="start"/>
        <w:rPr/>
      </w:pPr>
      <w:r>
        <w:rPr/>
        <w:t xml:space="preserve">At least 75 % of the male working population should be engaged in non-agricultural chases and </w:t>
      </w:r>
    </w:p>
    <w:p>
      <w:pPr>
        <w:pStyle w:val="TextBody"/>
        <w:numPr>
          <w:ilvl w:val="0"/>
          <w:numId w:val="3"/>
        </w:numPr>
        <w:tabs>
          <w:tab w:val="clear" w:pos="1134"/>
          <w:tab w:val="left" w:pos="707" w:leader="none"/>
        </w:tabs>
        <w:bidi w:val="0"/>
        <w:ind w:start="707" w:hanging="283"/>
        <w:jc w:val="start"/>
        <w:rPr/>
      </w:pPr>
      <w:r>
        <w:rPr/>
        <w:t xml:space="preserve">A denseness of population of at least 400 per sq. kilometer. ( 1000 per sq. stat mi ) . </w:t>
      </w:r>
    </w:p>
    <w:p>
      <w:pPr>
        <w:pStyle w:val="TextBody"/>
        <w:bidi w:val="0"/>
        <w:jc w:val="start"/>
        <w:rPr/>
      </w:pPr>
      <w:r>
        <w:rPr/>
        <w:t xml:space="preserve">All topographic points, which have been notified under jurisprudence and have local organic structures like municipal corporations, municipalities, municipal commissions, municipal boards, municipal town commissions, camp boards, notified countries, notified country commissions, town commissions, town countries, town boards, town municipalities, healthful boards etc. , irrespective of their demographic features have been included in the class of towns. </w:t>
      </w:r>
    </w:p>
    <w:p>
      <w:pPr>
        <w:pStyle w:val="TextBody"/>
        <w:bidi w:val="0"/>
        <w:spacing w:before="0" w:after="283"/>
        <w:jc w:val="start"/>
        <w:rPr/>
      </w:pPr>
      <w:r>
        <w:rPr/>
        <w:t xml:space="preserve">Basic statistics of Urban population in Andhra Pradesh </w:t>
      </w:r>
    </w:p>
    <w:p>
      <w:pPr>
        <w:pStyle w:val="TextBody"/>
        <w:bidi w:val="0"/>
        <w:spacing w:before="0" w:after="283"/>
        <w:jc w:val="start"/>
        <w:rPr/>
      </w:pPr>
      <w:r>
        <w:rPr/>
        <w:t xml:space="preserve">The basic statistics of urban and rural population harmonizing to 2001 nose count are given in the undermentioned tabular array. </w:t>
      </w:r>
    </w:p>
    <w:p>
      <w:pPr>
        <w:pStyle w:val="TextBody"/>
        <w:bidi w:val="0"/>
        <w:spacing w:before="0" w:after="283"/>
        <w:jc w:val="start"/>
        <w:rPr/>
      </w:pPr>
      <w:r>
        <w:rPr/>
        <w:t xml:space="preserve">Table 2: Population of Tamil Nadu by sex and abode: 2001 </w:t>
      </w:r>
    </w:p>
    <w:tbl>
      <w:tblPr>
        <w:tblW w:w="8570" w:type="dxa"/>
        <w:jc w:val="start"/>
        <w:tblInd w:w="0" w:type="dxa"/>
        <w:tblLayout w:type="fixed"/>
        <w:tblCellMar>
          <w:top w:w="28" w:type="dxa"/>
          <w:start w:w="28" w:type="dxa"/>
          <w:bottom w:w="28" w:type="dxa"/>
          <w:end w:w="28" w:type="dxa"/>
        </w:tblCellMar>
      </w:tblPr>
      <w:tblGrid>
        <w:gridCol w:w="1711"/>
        <w:gridCol w:w="1486"/>
        <w:gridCol w:w="1486"/>
        <w:gridCol w:w="1801"/>
        <w:gridCol w:w="2086"/>
      </w:tblGrid>
      <w:tr>
        <w:trPr/>
        <w:tc>
          <w:tcPr>
            <w:tcW w:w="1711" w:type="dxa"/>
            <w:tcBorders/>
            <w:vAlign w:val="center"/>
          </w:tcPr>
          <w:p>
            <w:pPr>
              <w:pStyle w:val="TableContents"/>
              <w:bidi w:val="0"/>
              <w:spacing w:before="0" w:after="283"/>
              <w:jc w:val="start"/>
              <w:rPr/>
            </w:pPr>
            <w:r>
              <w:rPr/>
              <w:t xml:space="preserve">Andhra Pradesh </w:t>
            </w:r>
          </w:p>
        </w:tc>
        <w:tc>
          <w:tcPr>
            <w:tcW w:w="1486" w:type="dxa"/>
            <w:tcBorders/>
            <w:vAlign w:val="center"/>
          </w:tcPr>
          <w:p>
            <w:pPr>
              <w:pStyle w:val="TableContents"/>
              <w:bidi w:val="0"/>
              <w:spacing w:before="0" w:after="283"/>
              <w:jc w:val="start"/>
              <w:rPr/>
            </w:pPr>
            <w:r>
              <w:rPr/>
              <w:t xml:space="preserve">Male </w:t>
            </w:r>
          </w:p>
        </w:tc>
        <w:tc>
          <w:tcPr>
            <w:tcW w:w="1486" w:type="dxa"/>
            <w:tcBorders/>
            <w:vAlign w:val="center"/>
          </w:tcPr>
          <w:p>
            <w:pPr>
              <w:pStyle w:val="TableContents"/>
              <w:bidi w:val="0"/>
              <w:spacing w:before="0" w:after="283"/>
              <w:jc w:val="start"/>
              <w:rPr/>
            </w:pPr>
            <w:r>
              <w:rPr/>
              <w:t xml:space="preserve">Female </w:t>
            </w:r>
          </w:p>
        </w:tc>
        <w:tc>
          <w:tcPr>
            <w:tcW w:w="1801" w:type="dxa"/>
            <w:tcBorders/>
            <w:vAlign w:val="center"/>
          </w:tcPr>
          <w:p>
            <w:pPr>
              <w:pStyle w:val="TableContents"/>
              <w:bidi w:val="0"/>
              <w:spacing w:before="0" w:after="283"/>
              <w:jc w:val="start"/>
              <w:rPr/>
            </w:pPr>
            <w:r>
              <w:rPr/>
              <w:t xml:space="preserve">Entire population </w:t>
            </w:r>
          </w:p>
        </w:tc>
        <w:tc>
          <w:tcPr>
            <w:tcW w:w="2086" w:type="dxa"/>
            <w:tcBorders/>
            <w:vAlign w:val="center"/>
          </w:tcPr>
          <w:p>
            <w:pPr>
              <w:pStyle w:val="TableContents"/>
              <w:bidi w:val="0"/>
              <w:spacing w:before="0" w:after="283"/>
              <w:jc w:val="start"/>
              <w:rPr/>
            </w:pPr>
            <w:r>
              <w:rPr/>
              <w:t xml:space="preserve">Sexual activity ratio </w:t>
            </w:r>
          </w:p>
        </w:tc>
      </w:tr>
      <w:tr>
        <w:trPr/>
        <w:tc>
          <w:tcPr>
            <w:tcW w:w="1711" w:type="dxa"/>
            <w:tcBorders/>
            <w:vAlign w:val="center"/>
          </w:tcPr>
          <w:p>
            <w:pPr>
              <w:pStyle w:val="TableContents"/>
              <w:bidi w:val="0"/>
              <w:spacing w:before="0" w:after="283"/>
              <w:jc w:val="start"/>
              <w:rPr/>
            </w:pPr>
            <w:r>
              <w:rPr/>
              <w:t xml:space="preserve">Urban </w:t>
            </w:r>
          </w:p>
        </w:tc>
        <w:tc>
          <w:tcPr>
            <w:tcW w:w="1486" w:type="dxa"/>
            <w:tcBorders/>
            <w:vAlign w:val="center"/>
          </w:tcPr>
          <w:p>
            <w:pPr>
              <w:pStyle w:val="TableContents"/>
              <w:bidi w:val="0"/>
              <w:spacing w:before="0" w:after="283"/>
              <w:jc w:val="start"/>
              <w:rPr/>
            </w:pPr>
            <w:r>
              <w:rPr/>
              <w:t xml:space="preserve">1, 05, 90, 209 </w:t>
            </w:r>
          </w:p>
        </w:tc>
        <w:tc>
          <w:tcPr>
            <w:tcW w:w="1486" w:type="dxa"/>
            <w:tcBorders/>
            <w:vAlign w:val="center"/>
          </w:tcPr>
          <w:p>
            <w:pPr>
              <w:pStyle w:val="TableContents"/>
              <w:bidi w:val="0"/>
              <w:spacing w:before="0" w:after="283"/>
              <w:jc w:val="start"/>
              <w:rPr/>
            </w:pPr>
            <w:r>
              <w:rPr/>
              <w:t xml:space="preserve">1, 02, 18, 731 </w:t>
            </w:r>
          </w:p>
        </w:tc>
        <w:tc>
          <w:tcPr>
            <w:tcW w:w="1801" w:type="dxa"/>
            <w:tcBorders/>
            <w:vAlign w:val="center"/>
          </w:tcPr>
          <w:p>
            <w:pPr>
              <w:pStyle w:val="TableContents"/>
              <w:bidi w:val="0"/>
              <w:spacing w:before="0" w:after="283"/>
              <w:jc w:val="start"/>
              <w:rPr/>
            </w:pPr>
            <w:r>
              <w:rPr/>
              <w:t xml:space="preserve">2, 08, 08, 940 </w:t>
            </w:r>
          </w:p>
        </w:tc>
        <w:tc>
          <w:tcPr>
            <w:tcW w:w="2086" w:type="dxa"/>
            <w:tcBorders/>
            <w:vAlign w:val="center"/>
          </w:tcPr>
          <w:p>
            <w:pPr>
              <w:pStyle w:val="TableContents"/>
              <w:bidi w:val="0"/>
              <w:spacing w:before="0" w:after="283"/>
              <w:jc w:val="start"/>
              <w:rPr/>
            </w:pPr>
            <w:r>
              <w:rPr/>
              <w:t xml:space="preserve">965 </w:t>
            </w:r>
          </w:p>
        </w:tc>
      </w:tr>
      <w:tr>
        <w:trPr/>
        <w:tc>
          <w:tcPr>
            <w:tcW w:w="1711" w:type="dxa"/>
            <w:tcBorders/>
            <w:vAlign w:val="center"/>
          </w:tcPr>
          <w:p>
            <w:pPr>
              <w:pStyle w:val="TableContents"/>
              <w:bidi w:val="0"/>
              <w:spacing w:before="0" w:after="283"/>
              <w:jc w:val="start"/>
              <w:rPr/>
            </w:pPr>
            <w:r>
              <w:rPr/>
              <w:t xml:space="preserve">Rural </w:t>
            </w:r>
          </w:p>
        </w:tc>
        <w:tc>
          <w:tcPr>
            <w:tcW w:w="1486" w:type="dxa"/>
            <w:tcBorders/>
            <w:vAlign w:val="center"/>
          </w:tcPr>
          <w:p>
            <w:pPr>
              <w:pStyle w:val="TableContents"/>
              <w:bidi w:val="0"/>
              <w:spacing w:before="0" w:after="283"/>
              <w:jc w:val="start"/>
              <w:rPr/>
            </w:pPr>
            <w:r>
              <w:rPr/>
              <w:t xml:space="preserve">2, 79, 37, 204 </w:t>
            </w:r>
          </w:p>
        </w:tc>
        <w:tc>
          <w:tcPr>
            <w:tcW w:w="1486" w:type="dxa"/>
            <w:tcBorders/>
            <w:vAlign w:val="center"/>
          </w:tcPr>
          <w:p>
            <w:pPr>
              <w:pStyle w:val="TableContents"/>
              <w:bidi w:val="0"/>
              <w:spacing w:before="0" w:after="283"/>
              <w:jc w:val="start"/>
              <w:rPr/>
            </w:pPr>
            <w:r>
              <w:rPr/>
              <w:t xml:space="preserve">2, 74, 63, 863 </w:t>
            </w:r>
          </w:p>
        </w:tc>
        <w:tc>
          <w:tcPr>
            <w:tcW w:w="1801" w:type="dxa"/>
            <w:tcBorders/>
            <w:vAlign w:val="center"/>
          </w:tcPr>
          <w:p>
            <w:pPr>
              <w:pStyle w:val="TableContents"/>
              <w:bidi w:val="0"/>
              <w:spacing w:before="0" w:after="283"/>
              <w:jc w:val="start"/>
              <w:rPr/>
            </w:pPr>
            <w:r>
              <w:rPr/>
              <w:t xml:space="preserve">5, 54, 01, 067 </w:t>
            </w:r>
          </w:p>
        </w:tc>
        <w:tc>
          <w:tcPr>
            <w:tcW w:w="2086" w:type="dxa"/>
            <w:tcBorders/>
            <w:vAlign w:val="center"/>
          </w:tcPr>
          <w:p>
            <w:pPr>
              <w:pStyle w:val="TableContents"/>
              <w:bidi w:val="0"/>
              <w:spacing w:before="0" w:after="283"/>
              <w:jc w:val="start"/>
              <w:rPr/>
            </w:pPr>
            <w:r>
              <w:rPr/>
              <w:t xml:space="preserve">983 </w:t>
            </w:r>
          </w:p>
        </w:tc>
      </w:tr>
      <w:tr>
        <w:trPr/>
        <w:tc>
          <w:tcPr>
            <w:tcW w:w="1711" w:type="dxa"/>
            <w:tcBorders/>
            <w:vAlign w:val="center"/>
          </w:tcPr>
          <w:p>
            <w:pPr>
              <w:pStyle w:val="TableContents"/>
              <w:bidi w:val="0"/>
              <w:spacing w:before="0" w:after="283"/>
              <w:jc w:val="start"/>
              <w:rPr/>
            </w:pPr>
            <w:r>
              <w:rPr/>
              <w:t xml:space="preserve">Entire </w:t>
            </w:r>
          </w:p>
        </w:tc>
        <w:tc>
          <w:tcPr>
            <w:tcW w:w="1486" w:type="dxa"/>
            <w:tcBorders/>
            <w:vAlign w:val="center"/>
          </w:tcPr>
          <w:p>
            <w:pPr>
              <w:pStyle w:val="TableContents"/>
              <w:bidi w:val="0"/>
              <w:spacing w:before="0" w:after="283"/>
              <w:jc w:val="start"/>
              <w:rPr/>
            </w:pPr>
            <w:r>
              <w:rPr/>
              <w:t xml:space="preserve">3, 85, 27, 413 </w:t>
            </w:r>
          </w:p>
        </w:tc>
        <w:tc>
          <w:tcPr>
            <w:tcW w:w="1486" w:type="dxa"/>
            <w:tcBorders/>
            <w:vAlign w:val="center"/>
          </w:tcPr>
          <w:p>
            <w:pPr>
              <w:pStyle w:val="TableContents"/>
              <w:bidi w:val="0"/>
              <w:spacing w:before="0" w:after="283"/>
              <w:jc w:val="start"/>
              <w:rPr/>
            </w:pPr>
            <w:r>
              <w:rPr/>
              <w:t xml:space="preserve">3, 76, 82, 594 </w:t>
            </w:r>
          </w:p>
        </w:tc>
        <w:tc>
          <w:tcPr>
            <w:tcW w:w="1801" w:type="dxa"/>
            <w:tcBorders/>
            <w:vAlign w:val="center"/>
          </w:tcPr>
          <w:p>
            <w:pPr>
              <w:pStyle w:val="TableContents"/>
              <w:bidi w:val="0"/>
              <w:spacing w:before="0" w:after="283"/>
              <w:jc w:val="start"/>
              <w:rPr/>
            </w:pPr>
            <w:r>
              <w:rPr/>
              <w:t xml:space="preserve">7, 62, 10, 007 </w:t>
            </w:r>
          </w:p>
        </w:tc>
        <w:tc>
          <w:tcPr>
            <w:tcW w:w="2086" w:type="dxa"/>
            <w:tcBorders/>
            <w:vAlign w:val="center"/>
          </w:tcPr>
          <w:p>
            <w:pPr>
              <w:pStyle w:val="TableContents"/>
              <w:bidi w:val="0"/>
              <w:spacing w:before="0" w:after="283"/>
              <w:jc w:val="start"/>
              <w:rPr/>
            </w:pPr>
            <w:r>
              <w:rPr/>
              <w:t xml:space="preserve">978 </w:t>
            </w:r>
          </w:p>
        </w:tc>
      </w:tr>
    </w:tbl>
    <w:p>
      <w:pPr>
        <w:pStyle w:val="TextBody"/>
        <w:bidi w:val="0"/>
        <w:spacing w:before="0" w:after="283"/>
        <w:jc w:val="start"/>
        <w:rPr/>
      </w:pPr>
      <w:r>
        <w:rPr/>
        <w:t xml:space="preserve">The entire figure of urban inhabitants in Andhra Pradesh as per the Population sum of the Census of India 2001 is 7, 62, 10, 007. Males figure 3, 85, 27, 413 while females entire 3, 76, 82, 594. The entire figure of urban inhabitants in the state is 285, 354, 954 consisting of 150, 135, 894 males and 135, 219, 060 females. The per centum of urban population to entire population in the state works out to 27. 78 % as against the ratio of 27. 08 % in Andhra Pradesh. Andhra Pradesh ranks ten percent in footings of its urban population 2001. </w:t>
      </w:r>
    </w:p>
    <w:p>
      <w:pPr>
        <w:pStyle w:val="TextBody"/>
        <w:bidi w:val="0"/>
        <w:spacing w:before="0" w:after="283"/>
        <w:jc w:val="start"/>
        <w:rPr/>
      </w:pPr>
      <w:r>
        <w:rPr/>
        <w:t xml:space="preserve">Datas on City Size Distribution </w:t>
      </w:r>
    </w:p>
    <w:p>
      <w:pPr>
        <w:pStyle w:val="TextBody"/>
        <w:bidi w:val="0"/>
        <w:spacing w:before="0" w:after="283"/>
        <w:jc w:val="start"/>
        <w:rPr/>
      </w:pPr>
      <w:r>
        <w:rPr/>
        <w:t xml:space="preserve">India has really rich beginning of information for urban surveies. The nose count volumes, both at the National and the province and territory degrees, provide a mine of information for rural and urban topographic points for a period of 100 old ages. It is besides chief beginning of information for temporal surveies concentrating in the recent yesteryear. The nose count besides provides informations on intra – metropolis spacial units. The nose count periods used are: 1901, 1911, 1921, 1931, 1941, 1951, 1961, 1971, 1981, 1991 and 2001. </w:t>
      </w:r>
    </w:p>
    <w:p>
      <w:pPr>
        <w:pStyle w:val="TextBody"/>
        <w:bidi w:val="0"/>
        <w:spacing w:before="0" w:after="283"/>
        <w:jc w:val="start"/>
        <w:rPr/>
      </w:pPr>
      <w:r>
        <w:rPr/>
        <w:t xml:space="preserve">Urban size category under Indian nose count </w:t>
      </w:r>
    </w:p>
    <w:p>
      <w:pPr>
        <w:pStyle w:val="TextBody"/>
        <w:bidi w:val="0"/>
        <w:spacing w:before="0" w:after="283"/>
        <w:jc w:val="start"/>
        <w:rPr/>
      </w:pPr>
      <w:r>
        <w:rPr/>
        <w:t xml:space="preserve">Census of India classifies urban Centres into six categories. Urban Centre with population of more than one hundred thousand is called a metropolis and less than one hundred thousand is called a town. Cities suiting population between one to five million are called metropolitan metropoliss and more than five million are mega metropoliss. Majority of metropolitan and mega metropoliss are urban agglomerations. An urban agglomeration may dwell of any one of the undermentioned three combinations: </w:t>
      </w:r>
    </w:p>
    <w:p>
      <w:pPr>
        <w:pStyle w:val="TextBody"/>
        <w:numPr>
          <w:ilvl w:val="0"/>
          <w:numId w:val="4"/>
        </w:numPr>
        <w:tabs>
          <w:tab w:val="clear" w:pos="1134"/>
          <w:tab w:val="left" w:pos="707" w:leader="none"/>
        </w:tabs>
        <w:bidi w:val="0"/>
        <w:spacing w:before="0" w:after="0"/>
        <w:ind w:start="707" w:hanging="283"/>
        <w:jc w:val="start"/>
        <w:rPr/>
      </w:pPr>
      <w:r>
        <w:rPr/>
        <w:t xml:space="preserve">A town and its adjoining urban branchs, </w:t>
      </w:r>
    </w:p>
    <w:p>
      <w:pPr>
        <w:pStyle w:val="TextBody"/>
        <w:numPr>
          <w:ilvl w:val="0"/>
          <w:numId w:val="4"/>
        </w:numPr>
        <w:tabs>
          <w:tab w:val="clear" w:pos="1134"/>
          <w:tab w:val="left" w:pos="707" w:leader="none"/>
        </w:tabs>
        <w:bidi w:val="0"/>
        <w:spacing w:before="0" w:after="0"/>
        <w:ind w:start="707" w:hanging="283"/>
        <w:jc w:val="start"/>
        <w:rPr/>
      </w:pPr>
      <w:r>
        <w:rPr/>
        <w:t xml:space="preserve">Two or more immediate towns with or without their branchs and </w:t>
      </w:r>
    </w:p>
    <w:p>
      <w:pPr>
        <w:pStyle w:val="TextBody"/>
        <w:numPr>
          <w:ilvl w:val="0"/>
          <w:numId w:val="4"/>
        </w:numPr>
        <w:tabs>
          <w:tab w:val="clear" w:pos="1134"/>
          <w:tab w:val="left" w:pos="707" w:leader="none"/>
        </w:tabs>
        <w:bidi w:val="0"/>
        <w:ind w:start="707" w:hanging="283"/>
        <w:jc w:val="start"/>
        <w:rPr/>
      </w:pPr>
      <w:r>
        <w:rPr/>
        <w:t xml:space="preserve">A metropolis and one or more adjoining towns with their branchs together organizing a immediate spread. </w:t>
      </w:r>
    </w:p>
    <w:p>
      <w:pPr>
        <w:pStyle w:val="TextBody"/>
        <w:bidi w:val="0"/>
        <w:jc w:val="start"/>
        <w:rPr/>
      </w:pPr>
      <w:r>
        <w:rPr/>
        <w:t xml:space="preserve">Examples of urban branch are railway settlements, university campus, port-area, military camp located within the gross bounds of a small town or small towns immediate to the town or metropolis. </w:t>
      </w:r>
    </w:p>
    <w:p>
      <w:pPr>
        <w:pStyle w:val="TextBody"/>
        <w:bidi w:val="0"/>
        <w:spacing w:before="0" w:after="283"/>
        <w:jc w:val="start"/>
        <w:rPr/>
      </w:pPr>
      <w:r>
        <w:rPr/>
        <w:t xml:space="preserve">Urban population by size categorization is based on the followers: </w:t>
      </w:r>
    </w:p>
    <w:p>
      <w:pPr>
        <w:pStyle w:val="TextBody"/>
        <w:bidi w:val="0"/>
        <w:spacing w:before="0" w:after="283"/>
        <w:jc w:val="start"/>
        <w:rPr/>
      </w:pPr>
      <w:r>
        <w:rPr/>
        <w:t xml:space="preserve">Class–Population </w:t>
      </w:r>
    </w:p>
    <w:p>
      <w:pPr>
        <w:pStyle w:val="TextBody"/>
        <w:bidi w:val="0"/>
        <w:spacing w:before="0" w:after="283"/>
        <w:jc w:val="start"/>
        <w:rPr/>
      </w:pPr>
      <w:r>
        <w:rPr/>
        <w:t xml:space="preserve">I-Greater than 1, 00, 000 </w:t>
      </w:r>
    </w:p>
    <w:p>
      <w:pPr>
        <w:pStyle w:val="TextBody"/>
        <w:bidi w:val="0"/>
        <w:spacing w:before="0" w:after="283"/>
        <w:jc w:val="start"/>
        <w:rPr/>
      </w:pPr>
      <w:r>
        <w:rPr/>
        <w:t xml:space="preserve">II-50, 000 – 1, 00, 000 </w:t>
      </w:r>
    </w:p>
    <w:p>
      <w:pPr>
        <w:pStyle w:val="TextBody"/>
        <w:bidi w:val="0"/>
        <w:spacing w:before="0" w:after="283"/>
        <w:jc w:val="start"/>
        <w:rPr/>
      </w:pPr>
      <w:r>
        <w:rPr/>
        <w:t xml:space="preserve">III-20, 000 – 50, 000 </w:t>
      </w:r>
    </w:p>
    <w:p>
      <w:pPr>
        <w:pStyle w:val="TextBody"/>
        <w:bidi w:val="0"/>
        <w:spacing w:before="0" w:after="283"/>
        <w:jc w:val="start"/>
        <w:rPr/>
      </w:pPr>
      <w:r>
        <w:rPr/>
        <w:t xml:space="preserve">IV-10, 000 – 20, 000 </w:t>
      </w:r>
    </w:p>
    <w:p>
      <w:pPr>
        <w:pStyle w:val="TextBody"/>
        <w:bidi w:val="0"/>
        <w:spacing w:before="0" w:after="283"/>
        <w:jc w:val="start"/>
        <w:rPr/>
      </w:pPr>
      <w:r>
        <w:rPr/>
        <w:t xml:space="preserve">V-5, 000 – 10, 000 </w:t>
      </w:r>
    </w:p>
    <w:p>
      <w:pPr>
        <w:pStyle w:val="TextBody"/>
        <w:bidi w:val="0"/>
        <w:spacing w:before="0" w:after="283"/>
        <w:jc w:val="start"/>
        <w:rPr/>
      </w:pPr>
      <w:r>
        <w:rPr/>
        <w:t xml:space="preserve">VI-Less than 5000 </w:t>
      </w:r>
    </w:p>
    <w:p>
      <w:pPr>
        <w:pStyle w:val="TextBody"/>
        <w:bidi w:val="0"/>
        <w:spacing w:before="0" w:after="283"/>
        <w:jc w:val="start"/>
        <w:rPr/>
      </w:pPr>
      <w:r>
        <w:rPr/>
        <w:t xml:space="preserve">City Size Distribution in Andhra Pradesh ( 1901-2001 ) </w:t>
      </w:r>
    </w:p>
    <w:p>
      <w:pPr>
        <w:pStyle w:val="TextBody"/>
        <w:bidi w:val="0"/>
        <w:spacing w:before="0" w:after="283"/>
        <w:jc w:val="start"/>
        <w:rPr/>
      </w:pPr>
      <w:r>
        <w:rPr/>
        <w:t xml:space="preserve">The figure of metropoliss / towns for each nose count twelvemonth under six categories is given in the undermentioned tabular array. </w:t>
      </w:r>
    </w:p>
    <w:p>
      <w:pPr>
        <w:pStyle w:val="TextBody"/>
        <w:bidi w:val="0"/>
        <w:spacing w:before="0" w:after="283"/>
        <w:jc w:val="start"/>
        <w:rPr/>
      </w:pPr>
      <w:r>
        <w:rPr/>
        <w:t xml:space="preserve">Table 3: Tamil Nadu: City Size Distribution ( No. of Cities / Towns ) </w:t>
      </w:r>
    </w:p>
    <w:tbl>
      <w:tblPr>
        <w:tblW w:w="11339" w:type="dxa"/>
        <w:jc w:val="start"/>
        <w:tblInd w:w="0" w:type="dxa"/>
        <w:tblLayout w:type="fixed"/>
        <w:tblCellMar>
          <w:top w:w="28" w:type="dxa"/>
          <w:start w:w="28" w:type="dxa"/>
          <w:bottom w:w="28" w:type="dxa"/>
          <w:end w:w="28" w:type="dxa"/>
        </w:tblCellMar>
      </w:tblPr>
      <w:tblGrid>
        <w:gridCol w:w="655"/>
        <w:gridCol w:w="1950"/>
        <w:gridCol w:w="1789"/>
        <w:gridCol w:w="1570"/>
        <w:gridCol w:w="1570"/>
        <w:gridCol w:w="1460"/>
        <w:gridCol w:w="1566"/>
        <w:gridCol w:w="779"/>
      </w:tblGrid>
      <w:tr>
        <w:trPr/>
        <w:tc>
          <w:tcPr>
            <w:tcW w:w="655" w:type="dxa"/>
            <w:tcBorders/>
            <w:vAlign w:val="center"/>
          </w:tcPr>
          <w:p>
            <w:pPr>
              <w:pStyle w:val="TableContents"/>
              <w:bidi w:val="0"/>
              <w:spacing w:before="0" w:after="283"/>
              <w:jc w:val="start"/>
              <w:rPr>
                <w:sz w:val="4"/>
                <w:szCs w:val="4"/>
              </w:rPr>
            </w:pPr>
            <w:r>
              <w:rPr>
                <w:sz w:val="4"/>
                <w:szCs w:val="4"/>
              </w:rPr>
            </w:r>
          </w:p>
        </w:tc>
        <w:tc>
          <w:tcPr>
            <w:tcW w:w="1950" w:type="dxa"/>
            <w:tcBorders/>
            <w:vAlign w:val="center"/>
          </w:tcPr>
          <w:p>
            <w:pPr>
              <w:pStyle w:val="TableContents"/>
              <w:bidi w:val="0"/>
              <w:spacing w:before="0" w:after="283"/>
              <w:jc w:val="start"/>
              <w:rPr/>
            </w:pPr>
            <w:r>
              <w:rPr/>
              <w:t xml:space="preserve">&amp; A ; gt ; 1, 00, 000 </w:t>
            </w:r>
          </w:p>
        </w:tc>
        <w:tc>
          <w:tcPr>
            <w:tcW w:w="1789" w:type="dxa"/>
            <w:tcBorders/>
            <w:vAlign w:val="center"/>
          </w:tcPr>
          <w:p>
            <w:pPr>
              <w:pStyle w:val="TableContents"/>
              <w:bidi w:val="0"/>
              <w:spacing w:before="0" w:after="283"/>
              <w:jc w:val="start"/>
              <w:rPr/>
            </w:pPr>
            <w:r>
              <w:rPr/>
              <w:t xml:space="preserve">50, 000-1, 00, 000 </w:t>
            </w:r>
          </w:p>
        </w:tc>
        <w:tc>
          <w:tcPr>
            <w:tcW w:w="1570" w:type="dxa"/>
            <w:tcBorders/>
            <w:vAlign w:val="center"/>
          </w:tcPr>
          <w:p>
            <w:pPr>
              <w:pStyle w:val="TableContents"/>
              <w:bidi w:val="0"/>
              <w:spacing w:before="0" w:after="283"/>
              <w:jc w:val="start"/>
              <w:rPr/>
            </w:pPr>
            <w:r>
              <w:rPr/>
              <w:t xml:space="preserve">20, 000-50, 000 </w:t>
            </w:r>
          </w:p>
        </w:tc>
        <w:tc>
          <w:tcPr>
            <w:tcW w:w="1570" w:type="dxa"/>
            <w:tcBorders/>
            <w:vAlign w:val="center"/>
          </w:tcPr>
          <w:p>
            <w:pPr>
              <w:pStyle w:val="TableContents"/>
              <w:bidi w:val="0"/>
              <w:spacing w:before="0" w:after="283"/>
              <w:jc w:val="start"/>
              <w:rPr/>
            </w:pPr>
            <w:r>
              <w:rPr/>
              <w:t xml:space="preserve">10, 000-20, 000 </w:t>
            </w:r>
          </w:p>
        </w:tc>
        <w:tc>
          <w:tcPr>
            <w:tcW w:w="1460" w:type="dxa"/>
            <w:tcBorders/>
            <w:vAlign w:val="center"/>
          </w:tcPr>
          <w:p>
            <w:pPr>
              <w:pStyle w:val="TableContents"/>
              <w:bidi w:val="0"/>
              <w:spacing w:before="0" w:after="283"/>
              <w:jc w:val="start"/>
              <w:rPr/>
            </w:pPr>
            <w:r>
              <w:rPr/>
              <w:t xml:space="preserve">5, 000-10, 000 </w:t>
            </w:r>
          </w:p>
        </w:tc>
        <w:tc>
          <w:tcPr>
            <w:tcW w:w="1566" w:type="dxa"/>
            <w:tcBorders/>
            <w:vAlign w:val="center"/>
          </w:tcPr>
          <w:p>
            <w:pPr>
              <w:pStyle w:val="TableContents"/>
              <w:bidi w:val="0"/>
              <w:spacing w:before="0" w:after="283"/>
              <w:jc w:val="start"/>
              <w:rPr/>
            </w:pPr>
            <w:r>
              <w:rPr/>
              <w:t xml:space="preserve">&amp; A ; lt ; 5, 000 </w:t>
            </w:r>
          </w:p>
        </w:tc>
        <w:tc>
          <w:tcPr>
            <w:tcW w:w="779" w:type="dxa"/>
            <w:tcBorders/>
            <w:vAlign w:val="center"/>
          </w:tcPr>
          <w:p>
            <w:pPr>
              <w:pStyle w:val="TableContents"/>
              <w:bidi w:val="0"/>
              <w:spacing w:before="0" w:after="283"/>
              <w:jc w:val="start"/>
              <w:rPr/>
            </w:pPr>
            <w:r>
              <w:rPr/>
              <w:t xml:space="preserve">Entire </w:t>
            </w:r>
          </w:p>
        </w:tc>
      </w:tr>
      <w:tr>
        <w:trPr/>
        <w:tc>
          <w:tcPr>
            <w:tcW w:w="655" w:type="dxa"/>
            <w:tcBorders/>
            <w:vAlign w:val="center"/>
          </w:tcPr>
          <w:p>
            <w:pPr>
              <w:pStyle w:val="TableContents"/>
              <w:bidi w:val="0"/>
              <w:spacing w:before="0" w:after="283"/>
              <w:jc w:val="start"/>
              <w:rPr/>
            </w:pPr>
            <w:r>
              <w:rPr/>
              <w:t xml:space="preserve">1901 </w:t>
            </w:r>
          </w:p>
        </w:tc>
        <w:tc>
          <w:tcPr>
            <w:tcW w:w="1950" w:type="dxa"/>
            <w:tcBorders/>
            <w:vAlign w:val="center"/>
          </w:tcPr>
          <w:p>
            <w:pPr>
              <w:pStyle w:val="TableContents"/>
              <w:bidi w:val="0"/>
              <w:spacing w:before="0" w:after="283"/>
              <w:jc w:val="start"/>
              <w:rPr/>
            </w:pPr>
            <w:r>
              <w:rPr/>
              <w:t xml:space="preserve">0 </w:t>
            </w:r>
          </w:p>
        </w:tc>
        <w:tc>
          <w:tcPr>
            <w:tcW w:w="1789" w:type="dxa"/>
            <w:tcBorders/>
            <w:vAlign w:val="center"/>
          </w:tcPr>
          <w:p>
            <w:pPr>
              <w:pStyle w:val="TableContents"/>
              <w:bidi w:val="0"/>
              <w:spacing w:before="0" w:after="283"/>
              <w:jc w:val="start"/>
              <w:rPr/>
            </w:pPr>
            <w:r>
              <w:rPr/>
              <w:t xml:space="preserve">0 </w:t>
            </w:r>
          </w:p>
        </w:tc>
        <w:tc>
          <w:tcPr>
            <w:tcW w:w="1570" w:type="dxa"/>
            <w:tcBorders/>
            <w:vAlign w:val="center"/>
          </w:tcPr>
          <w:p>
            <w:pPr>
              <w:pStyle w:val="TableContents"/>
              <w:bidi w:val="0"/>
              <w:spacing w:before="0" w:after="283"/>
              <w:jc w:val="start"/>
              <w:rPr/>
            </w:pPr>
            <w:r>
              <w:rPr/>
              <w:t xml:space="preserve">11 </w:t>
            </w:r>
          </w:p>
        </w:tc>
        <w:tc>
          <w:tcPr>
            <w:tcW w:w="1570" w:type="dxa"/>
            <w:tcBorders/>
            <w:vAlign w:val="center"/>
          </w:tcPr>
          <w:p>
            <w:pPr>
              <w:pStyle w:val="TableContents"/>
              <w:bidi w:val="0"/>
              <w:spacing w:before="0" w:after="283"/>
              <w:jc w:val="start"/>
              <w:rPr/>
            </w:pPr>
            <w:r>
              <w:rPr/>
              <w:t xml:space="preserve">38 </w:t>
            </w:r>
          </w:p>
        </w:tc>
        <w:tc>
          <w:tcPr>
            <w:tcW w:w="1460" w:type="dxa"/>
            <w:tcBorders/>
            <w:vAlign w:val="center"/>
          </w:tcPr>
          <w:p>
            <w:pPr>
              <w:pStyle w:val="TableContents"/>
              <w:bidi w:val="0"/>
              <w:spacing w:before="0" w:after="283"/>
              <w:jc w:val="start"/>
              <w:rPr/>
            </w:pPr>
            <w:r>
              <w:rPr/>
              <w:t xml:space="preserve">35 </w:t>
            </w:r>
          </w:p>
        </w:tc>
        <w:tc>
          <w:tcPr>
            <w:tcW w:w="1566" w:type="dxa"/>
            <w:tcBorders/>
            <w:vAlign w:val="center"/>
          </w:tcPr>
          <w:p>
            <w:pPr>
              <w:pStyle w:val="TableContents"/>
              <w:bidi w:val="0"/>
              <w:spacing w:before="0" w:after="283"/>
              <w:jc w:val="start"/>
              <w:rPr/>
            </w:pPr>
            <w:r>
              <w:rPr/>
              <w:t xml:space="preserve">0 </w:t>
            </w:r>
          </w:p>
        </w:tc>
        <w:tc>
          <w:tcPr>
            <w:tcW w:w="779" w:type="dxa"/>
            <w:tcBorders/>
            <w:vAlign w:val="center"/>
          </w:tcPr>
          <w:p>
            <w:pPr>
              <w:pStyle w:val="TableContents"/>
              <w:bidi w:val="0"/>
              <w:spacing w:before="0" w:after="283"/>
              <w:jc w:val="start"/>
              <w:rPr/>
            </w:pPr>
            <w:r>
              <w:rPr/>
              <w:t xml:space="preserve">84 </w:t>
            </w:r>
          </w:p>
        </w:tc>
      </w:tr>
      <w:tr>
        <w:trPr/>
        <w:tc>
          <w:tcPr>
            <w:tcW w:w="655" w:type="dxa"/>
            <w:tcBorders/>
            <w:vAlign w:val="center"/>
          </w:tcPr>
          <w:p>
            <w:pPr>
              <w:pStyle w:val="TableContents"/>
              <w:bidi w:val="0"/>
              <w:spacing w:before="0" w:after="283"/>
              <w:jc w:val="start"/>
              <w:rPr/>
            </w:pPr>
            <w:r>
              <w:rPr/>
              <w:t xml:space="preserve">1911 </w:t>
            </w:r>
          </w:p>
        </w:tc>
        <w:tc>
          <w:tcPr>
            <w:tcW w:w="1950" w:type="dxa"/>
            <w:tcBorders/>
            <w:vAlign w:val="center"/>
          </w:tcPr>
          <w:p>
            <w:pPr>
              <w:pStyle w:val="TableContents"/>
              <w:bidi w:val="0"/>
              <w:spacing w:before="0" w:after="283"/>
              <w:jc w:val="start"/>
              <w:rPr/>
            </w:pPr>
            <w:r>
              <w:rPr/>
              <w:t xml:space="preserve">0 </w:t>
            </w:r>
          </w:p>
        </w:tc>
        <w:tc>
          <w:tcPr>
            <w:tcW w:w="1789" w:type="dxa"/>
            <w:tcBorders/>
            <w:vAlign w:val="center"/>
          </w:tcPr>
          <w:p>
            <w:pPr>
              <w:pStyle w:val="TableContents"/>
              <w:bidi w:val="0"/>
              <w:spacing w:before="0" w:after="283"/>
              <w:jc w:val="start"/>
              <w:rPr/>
            </w:pPr>
            <w:r>
              <w:rPr/>
              <w:t xml:space="preserve">1 </w:t>
            </w:r>
          </w:p>
        </w:tc>
        <w:tc>
          <w:tcPr>
            <w:tcW w:w="1570" w:type="dxa"/>
            <w:tcBorders/>
            <w:vAlign w:val="center"/>
          </w:tcPr>
          <w:p>
            <w:pPr>
              <w:pStyle w:val="TableContents"/>
              <w:bidi w:val="0"/>
              <w:spacing w:before="0" w:after="283"/>
              <w:jc w:val="start"/>
              <w:rPr/>
            </w:pPr>
            <w:r>
              <w:rPr/>
              <w:t xml:space="preserve">12 </w:t>
            </w:r>
          </w:p>
        </w:tc>
        <w:tc>
          <w:tcPr>
            <w:tcW w:w="1570" w:type="dxa"/>
            <w:tcBorders/>
            <w:vAlign w:val="center"/>
          </w:tcPr>
          <w:p>
            <w:pPr>
              <w:pStyle w:val="TableContents"/>
              <w:bidi w:val="0"/>
              <w:spacing w:before="0" w:after="283"/>
              <w:jc w:val="start"/>
              <w:rPr/>
            </w:pPr>
            <w:r>
              <w:rPr/>
              <w:t xml:space="preserve">39 </w:t>
            </w:r>
          </w:p>
        </w:tc>
        <w:tc>
          <w:tcPr>
            <w:tcW w:w="1460" w:type="dxa"/>
            <w:tcBorders/>
            <w:vAlign w:val="center"/>
          </w:tcPr>
          <w:p>
            <w:pPr>
              <w:pStyle w:val="TableContents"/>
              <w:bidi w:val="0"/>
              <w:spacing w:before="0" w:after="283"/>
              <w:jc w:val="start"/>
              <w:rPr/>
            </w:pPr>
            <w:r>
              <w:rPr/>
              <w:t xml:space="preserve">36 </w:t>
            </w:r>
          </w:p>
        </w:tc>
        <w:tc>
          <w:tcPr>
            <w:tcW w:w="1566" w:type="dxa"/>
            <w:tcBorders/>
            <w:vAlign w:val="center"/>
          </w:tcPr>
          <w:p>
            <w:pPr>
              <w:pStyle w:val="TableContents"/>
              <w:bidi w:val="0"/>
              <w:spacing w:before="0" w:after="283"/>
              <w:jc w:val="start"/>
              <w:rPr/>
            </w:pPr>
            <w:r>
              <w:rPr/>
              <w:t xml:space="preserve">1 </w:t>
            </w:r>
          </w:p>
        </w:tc>
        <w:tc>
          <w:tcPr>
            <w:tcW w:w="779" w:type="dxa"/>
            <w:tcBorders/>
            <w:vAlign w:val="center"/>
          </w:tcPr>
          <w:p>
            <w:pPr>
              <w:pStyle w:val="TableContents"/>
              <w:bidi w:val="0"/>
              <w:spacing w:before="0" w:after="283"/>
              <w:jc w:val="start"/>
              <w:rPr/>
            </w:pPr>
            <w:r>
              <w:rPr/>
              <w:t xml:space="preserve">89 </w:t>
            </w:r>
          </w:p>
        </w:tc>
      </w:tr>
      <w:tr>
        <w:trPr/>
        <w:tc>
          <w:tcPr>
            <w:tcW w:w="655" w:type="dxa"/>
            <w:tcBorders/>
            <w:vAlign w:val="center"/>
          </w:tcPr>
          <w:p>
            <w:pPr>
              <w:pStyle w:val="TableContents"/>
              <w:bidi w:val="0"/>
              <w:spacing w:before="0" w:after="283"/>
              <w:jc w:val="start"/>
              <w:rPr/>
            </w:pPr>
            <w:r>
              <w:rPr/>
              <w:t xml:space="preserve">1921 </w:t>
            </w:r>
          </w:p>
        </w:tc>
        <w:tc>
          <w:tcPr>
            <w:tcW w:w="1950" w:type="dxa"/>
            <w:tcBorders/>
            <w:vAlign w:val="center"/>
          </w:tcPr>
          <w:p>
            <w:pPr>
              <w:pStyle w:val="TableContents"/>
              <w:bidi w:val="0"/>
              <w:spacing w:before="0" w:after="283"/>
              <w:jc w:val="start"/>
              <w:rPr/>
            </w:pPr>
            <w:r>
              <w:rPr/>
              <w:t xml:space="preserve">0 </w:t>
            </w:r>
          </w:p>
        </w:tc>
        <w:tc>
          <w:tcPr>
            <w:tcW w:w="1789" w:type="dxa"/>
            <w:tcBorders/>
            <w:vAlign w:val="center"/>
          </w:tcPr>
          <w:p>
            <w:pPr>
              <w:pStyle w:val="TableContents"/>
              <w:bidi w:val="0"/>
              <w:spacing w:before="0" w:after="283"/>
              <w:jc w:val="start"/>
              <w:rPr/>
            </w:pPr>
            <w:r>
              <w:rPr/>
              <w:t xml:space="preserve">2 </w:t>
            </w:r>
          </w:p>
        </w:tc>
        <w:tc>
          <w:tcPr>
            <w:tcW w:w="1570" w:type="dxa"/>
            <w:tcBorders/>
            <w:vAlign w:val="center"/>
          </w:tcPr>
          <w:p>
            <w:pPr>
              <w:pStyle w:val="TableContents"/>
              <w:bidi w:val="0"/>
              <w:spacing w:before="0" w:after="283"/>
              <w:jc w:val="start"/>
              <w:rPr/>
            </w:pPr>
            <w:r>
              <w:rPr/>
              <w:t xml:space="preserve">13 </w:t>
            </w:r>
          </w:p>
        </w:tc>
        <w:tc>
          <w:tcPr>
            <w:tcW w:w="1570" w:type="dxa"/>
            <w:tcBorders/>
            <w:vAlign w:val="center"/>
          </w:tcPr>
          <w:p>
            <w:pPr>
              <w:pStyle w:val="TableContents"/>
              <w:bidi w:val="0"/>
              <w:spacing w:before="0" w:after="283"/>
              <w:jc w:val="start"/>
              <w:rPr/>
            </w:pPr>
            <w:r>
              <w:rPr/>
              <w:t xml:space="preserve">41 </w:t>
            </w:r>
          </w:p>
        </w:tc>
        <w:tc>
          <w:tcPr>
            <w:tcW w:w="1460" w:type="dxa"/>
            <w:tcBorders/>
            <w:vAlign w:val="center"/>
          </w:tcPr>
          <w:p>
            <w:pPr>
              <w:pStyle w:val="TableContents"/>
              <w:bidi w:val="0"/>
              <w:spacing w:before="0" w:after="283"/>
              <w:jc w:val="start"/>
              <w:rPr/>
            </w:pPr>
            <w:r>
              <w:rPr/>
              <w:t xml:space="preserve">35 </w:t>
            </w:r>
          </w:p>
        </w:tc>
        <w:tc>
          <w:tcPr>
            <w:tcW w:w="1566" w:type="dxa"/>
            <w:tcBorders/>
            <w:vAlign w:val="center"/>
          </w:tcPr>
          <w:p>
            <w:pPr>
              <w:pStyle w:val="TableContents"/>
              <w:bidi w:val="0"/>
              <w:spacing w:before="0" w:after="283"/>
              <w:jc w:val="start"/>
              <w:rPr/>
            </w:pPr>
            <w:r>
              <w:rPr/>
              <w:t xml:space="preserve">7 </w:t>
            </w:r>
          </w:p>
        </w:tc>
        <w:tc>
          <w:tcPr>
            <w:tcW w:w="779" w:type="dxa"/>
            <w:tcBorders/>
            <w:vAlign w:val="center"/>
          </w:tcPr>
          <w:p>
            <w:pPr>
              <w:pStyle w:val="TableContents"/>
              <w:bidi w:val="0"/>
              <w:spacing w:before="0" w:after="283"/>
              <w:jc w:val="start"/>
              <w:rPr/>
            </w:pPr>
            <w:r>
              <w:rPr/>
              <w:t xml:space="preserve">98 </w:t>
            </w:r>
          </w:p>
        </w:tc>
      </w:tr>
      <w:tr>
        <w:trPr/>
        <w:tc>
          <w:tcPr>
            <w:tcW w:w="655" w:type="dxa"/>
            <w:tcBorders/>
            <w:vAlign w:val="center"/>
          </w:tcPr>
          <w:p>
            <w:pPr>
              <w:pStyle w:val="TableContents"/>
              <w:bidi w:val="0"/>
              <w:spacing w:before="0" w:after="283"/>
              <w:jc w:val="start"/>
              <w:rPr/>
            </w:pPr>
            <w:r>
              <w:rPr/>
              <w:t xml:space="preserve">1931 </w:t>
            </w:r>
          </w:p>
        </w:tc>
        <w:tc>
          <w:tcPr>
            <w:tcW w:w="1950" w:type="dxa"/>
            <w:tcBorders/>
            <w:vAlign w:val="center"/>
          </w:tcPr>
          <w:p>
            <w:pPr>
              <w:pStyle w:val="TableContents"/>
              <w:bidi w:val="0"/>
              <w:spacing w:before="0" w:after="283"/>
              <w:jc w:val="start"/>
              <w:rPr/>
            </w:pPr>
            <w:r>
              <w:rPr/>
              <w:t xml:space="preserve">0 </w:t>
            </w:r>
          </w:p>
        </w:tc>
        <w:tc>
          <w:tcPr>
            <w:tcW w:w="1789" w:type="dxa"/>
            <w:tcBorders/>
            <w:vAlign w:val="center"/>
          </w:tcPr>
          <w:p>
            <w:pPr>
              <w:pStyle w:val="TableContents"/>
              <w:bidi w:val="0"/>
              <w:spacing w:before="0" w:after="283"/>
              <w:jc w:val="start"/>
              <w:rPr/>
            </w:pPr>
            <w:r>
              <w:rPr/>
              <w:t xml:space="preserve">8 </w:t>
            </w:r>
          </w:p>
        </w:tc>
        <w:tc>
          <w:tcPr>
            <w:tcW w:w="1570" w:type="dxa"/>
            <w:tcBorders/>
            <w:vAlign w:val="center"/>
          </w:tcPr>
          <w:p>
            <w:pPr>
              <w:pStyle w:val="TableContents"/>
              <w:bidi w:val="0"/>
              <w:spacing w:before="0" w:after="283"/>
              <w:jc w:val="start"/>
              <w:rPr/>
            </w:pPr>
            <w:r>
              <w:rPr/>
              <w:t xml:space="preserve">11 </w:t>
            </w:r>
          </w:p>
        </w:tc>
        <w:tc>
          <w:tcPr>
            <w:tcW w:w="1570" w:type="dxa"/>
            <w:tcBorders/>
            <w:vAlign w:val="center"/>
          </w:tcPr>
          <w:p>
            <w:pPr>
              <w:pStyle w:val="TableContents"/>
              <w:bidi w:val="0"/>
              <w:spacing w:before="0" w:after="283"/>
              <w:jc w:val="start"/>
              <w:rPr/>
            </w:pPr>
            <w:r>
              <w:rPr/>
              <w:t xml:space="preserve">50 </w:t>
            </w:r>
          </w:p>
        </w:tc>
        <w:tc>
          <w:tcPr>
            <w:tcW w:w="1460" w:type="dxa"/>
            <w:tcBorders/>
            <w:vAlign w:val="center"/>
          </w:tcPr>
          <w:p>
            <w:pPr>
              <w:pStyle w:val="TableContents"/>
              <w:bidi w:val="0"/>
              <w:spacing w:before="0" w:after="283"/>
              <w:jc w:val="start"/>
              <w:rPr/>
            </w:pPr>
            <w:r>
              <w:rPr/>
              <w:t xml:space="preserve">32 </w:t>
            </w:r>
          </w:p>
        </w:tc>
        <w:tc>
          <w:tcPr>
            <w:tcW w:w="1566" w:type="dxa"/>
            <w:tcBorders/>
            <w:vAlign w:val="center"/>
          </w:tcPr>
          <w:p>
            <w:pPr>
              <w:pStyle w:val="TableContents"/>
              <w:bidi w:val="0"/>
              <w:spacing w:before="0" w:after="283"/>
              <w:jc w:val="start"/>
              <w:rPr/>
            </w:pPr>
            <w:r>
              <w:rPr/>
              <w:t xml:space="preserve">3 </w:t>
            </w:r>
          </w:p>
        </w:tc>
        <w:tc>
          <w:tcPr>
            <w:tcW w:w="779" w:type="dxa"/>
            <w:tcBorders/>
            <w:vAlign w:val="center"/>
          </w:tcPr>
          <w:p>
            <w:pPr>
              <w:pStyle w:val="TableContents"/>
              <w:bidi w:val="0"/>
              <w:spacing w:before="0" w:after="283"/>
              <w:jc w:val="start"/>
              <w:rPr/>
            </w:pPr>
            <w:r>
              <w:rPr/>
              <w:t xml:space="preserve">104 </w:t>
            </w:r>
          </w:p>
        </w:tc>
      </w:tr>
      <w:tr>
        <w:trPr/>
        <w:tc>
          <w:tcPr>
            <w:tcW w:w="655" w:type="dxa"/>
            <w:tcBorders/>
            <w:vAlign w:val="center"/>
          </w:tcPr>
          <w:p>
            <w:pPr>
              <w:pStyle w:val="TableContents"/>
              <w:bidi w:val="0"/>
              <w:spacing w:before="0" w:after="283"/>
              <w:jc w:val="start"/>
              <w:rPr/>
            </w:pPr>
            <w:r>
              <w:rPr/>
              <w:t xml:space="preserve">1941 </w:t>
            </w:r>
          </w:p>
        </w:tc>
        <w:tc>
          <w:tcPr>
            <w:tcW w:w="1950" w:type="dxa"/>
            <w:tcBorders/>
            <w:vAlign w:val="center"/>
          </w:tcPr>
          <w:p>
            <w:pPr>
              <w:pStyle w:val="TableContents"/>
              <w:bidi w:val="0"/>
              <w:spacing w:before="0" w:after="283"/>
              <w:jc w:val="start"/>
              <w:rPr/>
            </w:pPr>
            <w:r>
              <w:rPr/>
              <w:t xml:space="preserve">0 </w:t>
            </w:r>
          </w:p>
        </w:tc>
        <w:tc>
          <w:tcPr>
            <w:tcW w:w="1789" w:type="dxa"/>
            <w:tcBorders/>
            <w:vAlign w:val="center"/>
          </w:tcPr>
          <w:p>
            <w:pPr>
              <w:pStyle w:val="TableContents"/>
              <w:bidi w:val="0"/>
              <w:spacing w:before="0" w:after="283"/>
              <w:jc w:val="start"/>
              <w:rPr/>
            </w:pPr>
            <w:r>
              <w:rPr/>
              <w:t xml:space="preserve">10 </w:t>
            </w:r>
          </w:p>
        </w:tc>
        <w:tc>
          <w:tcPr>
            <w:tcW w:w="1570" w:type="dxa"/>
            <w:tcBorders/>
            <w:vAlign w:val="center"/>
          </w:tcPr>
          <w:p>
            <w:pPr>
              <w:pStyle w:val="TableContents"/>
              <w:bidi w:val="0"/>
              <w:spacing w:before="0" w:after="283"/>
              <w:jc w:val="start"/>
              <w:rPr/>
            </w:pPr>
            <w:r>
              <w:rPr/>
              <w:t xml:space="preserve">21 </w:t>
            </w:r>
          </w:p>
        </w:tc>
        <w:tc>
          <w:tcPr>
            <w:tcW w:w="1570" w:type="dxa"/>
            <w:tcBorders/>
            <w:vAlign w:val="center"/>
          </w:tcPr>
          <w:p>
            <w:pPr>
              <w:pStyle w:val="TableContents"/>
              <w:bidi w:val="0"/>
              <w:spacing w:before="0" w:after="283"/>
              <w:jc w:val="start"/>
              <w:rPr/>
            </w:pPr>
            <w:r>
              <w:rPr/>
              <w:t xml:space="preserve">46 </w:t>
            </w:r>
          </w:p>
        </w:tc>
        <w:tc>
          <w:tcPr>
            <w:tcW w:w="1460" w:type="dxa"/>
            <w:tcBorders/>
            <w:vAlign w:val="center"/>
          </w:tcPr>
          <w:p>
            <w:pPr>
              <w:pStyle w:val="TableContents"/>
              <w:bidi w:val="0"/>
              <w:spacing w:before="0" w:after="283"/>
              <w:jc w:val="start"/>
              <w:rPr/>
            </w:pPr>
            <w:r>
              <w:rPr/>
              <w:t xml:space="preserve">34 </w:t>
            </w:r>
          </w:p>
        </w:tc>
        <w:tc>
          <w:tcPr>
            <w:tcW w:w="1566" w:type="dxa"/>
            <w:tcBorders/>
            <w:vAlign w:val="center"/>
          </w:tcPr>
          <w:p>
            <w:pPr>
              <w:pStyle w:val="TableContents"/>
              <w:bidi w:val="0"/>
              <w:spacing w:before="0" w:after="283"/>
              <w:jc w:val="start"/>
              <w:rPr/>
            </w:pPr>
            <w:r>
              <w:rPr/>
              <w:t xml:space="preserve">0 </w:t>
            </w:r>
          </w:p>
        </w:tc>
        <w:tc>
          <w:tcPr>
            <w:tcW w:w="779" w:type="dxa"/>
            <w:tcBorders/>
            <w:vAlign w:val="center"/>
          </w:tcPr>
          <w:p>
            <w:pPr>
              <w:pStyle w:val="TableContents"/>
              <w:bidi w:val="0"/>
              <w:spacing w:before="0" w:after="283"/>
              <w:jc w:val="start"/>
              <w:rPr/>
            </w:pPr>
            <w:r>
              <w:rPr/>
              <w:t xml:space="preserve">111 </w:t>
            </w:r>
          </w:p>
        </w:tc>
      </w:tr>
      <w:tr>
        <w:trPr/>
        <w:tc>
          <w:tcPr>
            <w:tcW w:w="655" w:type="dxa"/>
            <w:tcBorders/>
            <w:vAlign w:val="center"/>
          </w:tcPr>
          <w:p>
            <w:pPr>
              <w:pStyle w:val="TableContents"/>
              <w:bidi w:val="0"/>
              <w:spacing w:before="0" w:after="283"/>
              <w:jc w:val="start"/>
              <w:rPr/>
            </w:pPr>
            <w:r>
              <w:rPr/>
              <w:t xml:space="preserve">1951 </w:t>
            </w:r>
          </w:p>
        </w:tc>
        <w:tc>
          <w:tcPr>
            <w:tcW w:w="1950" w:type="dxa"/>
            <w:tcBorders/>
            <w:vAlign w:val="center"/>
          </w:tcPr>
          <w:p>
            <w:pPr>
              <w:pStyle w:val="TableContents"/>
              <w:bidi w:val="0"/>
              <w:spacing w:before="0" w:after="283"/>
              <w:jc w:val="start"/>
              <w:rPr/>
            </w:pPr>
            <w:r>
              <w:rPr/>
              <w:t xml:space="preserve">5 </w:t>
            </w:r>
          </w:p>
        </w:tc>
        <w:tc>
          <w:tcPr>
            <w:tcW w:w="1789" w:type="dxa"/>
            <w:tcBorders/>
            <w:vAlign w:val="center"/>
          </w:tcPr>
          <w:p>
            <w:pPr>
              <w:pStyle w:val="TableContents"/>
              <w:bidi w:val="0"/>
              <w:spacing w:before="0" w:after="283"/>
              <w:jc w:val="start"/>
              <w:rPr/>
            </w:pPr>
            <w:r>
              <w:rPr/>
              <w:t xml:space="preserve">11 </w:t>
            </w:r>
          </w:p>
        </w:tc>
        <w:tc>
          <w:tcPr>
            <w:tcW w:w="1570" w:type="dxa"/>
            <w:tcBorders/>
            <w:vAlign w:val="center"/>
          </w:tcPr>
          <w:p>
            <w:pPr>
              <w:pStyle w:val="TableContents"/>
              <w:bidi w:val="0"/>
              <w:spacing w:before="0" w:after="283"/>
              <w:jc w:val="start"/>
              <w:rPr/>
            </w:pPr>
            <w:r>
              <w:rPr/>
              <w:t xml:space="preserve">34 </w:t>
            </w:r>
          </w:p>
        </w:tc>
        <w:tc>
          <w:tcPr>
            <w:tcW w:w="1570" w:type="dxa"/>
            <w:tcBorders/>
            <w:vAlign w:val="center"/>
          </w:tcPr>
          <w:p>
            <w:pPr>
              <w:pStyle w:val="TableContents"/>
              <w:bidi w:val="0"/>
              <w:spacing w:before="0" w:after="283"/>
              <w:jc w:val="start"/>
              <w:rPr/>
            </w:pPr>
            <w:r>
              <w:rPr/>
              <w:t xml:space="preserve">54 </w:t>
            </w:r>
          </w:p>
        </w:tc>
        <w:tc>
          <w:tcPr>
            <w:tcW w:w="1460" w:type="dxa"/>
            <w:tcBorders/>
            <w:vAlign w:val="center"/>
          </w:tcPr>
          <w:p>
            <w:pPr>
              <w:pStyle w:val="TableContents"/>
              <w:bidi w:val="0"/>
              <w:spacing w:before="0" w:after="283"/>
              <w:jc w:val="start"/>
              <w:rPr/>
            </w:pPr>
            <w:r>
              <w:rPr/>
              <w:t xml:space="preserve">19 </w:t>
            </w:r>
          </w:p>
        </w:tc>
        <w:tc>
          <w:tcPr>
            <w:tcW w:w="1566" w:type="dxa"/>
            <w:tcBorders/>
            <w:vAlign w:val="center"/>
          </w:tcPr>
          <w:p>
            <w:pPr>
              <w:pStyle w:val="TableContents"/>
              <w:bidi w:val="0"/>
              <w:spacing w:before="0" w:after="283"/>
              <w:jc w:val="start"/>
              <w:rPr/>
            </w:pPr>
            <w:r>
              <w:rPr/>
              <w:t xml:space="preserve">3 </w:t>
            </w:r>
          </w:p>
        </w:tc>
        <w:tc>
          <w:tcPr>
            <w:tcW w:w="779" w:type="dxa"/>
            <w:tcBorders/>
            <w:vAlign w:val="center"/>
          </w:tcPr>
          <w:p>
            <w:pPr>
              <w:pStyle w:val="TableContents"/>
              <w:bidi w:val="0"/>
              <w:spacing w:before="0" w:after="283"/>
              <w:jc w:val="start"/>
              <w:rPr/>
            </w:pPr>
            <w:r>
              <w:rPr/>
              <w:t xml:space="preserve">126 </w:t>
            </w:r>
          </w:p>
        </w:tc>
      </w:tr>
      <w:tr>
        <w:trPr/>
        <w:tc>
          <w:tcPr>
            <w:tcW w:w="655" w:type="dxa"/>
            <w:tcBorders/>
            <w:vAlign w:val="center"/>
          </w:tcPr>
          <w:p>
            <w:pPr>
              <w:pStyle w:val="TableContents"/>
              <w:bidi w:val="0"/>
              <w:spacing w:before="0" w:after="283"/>
              <w:jc w:val="start"/>
              <w:rPr/>
            </w:pPr>
            <w:r>
              <w:rPr/>
              <w:t xml:space="preserve">1961 </w:t>
            </w:r>
          </w:p>
        </w:tc>
        <w:tc>
          <w:tcPr>
            <w:tcW w:w="1950" w:type="dxa"/>
            <w:tcBorders/>
            <w:vAlign w:val="center"/>
          </w:tcPr>
          <w:p>
            <w:pPr>
              <w:pStyle w:val="TableContents"/>
              <w:bidi w:val="0"/>
              <w:spacing w:before="0" w:after="283"/>
              <w:jc w:val="start"/>
              <w:rPr/>
            </w:pPr>
            <w:r>
              <w:rPr/>
              <w:t xml:space="preserve">10 </w:t>
            </w:r>
          </w:p>
        </w:tc>
        <w:tc>
          <w:tcPr>
            <w:tcW w:w="1789" w:type="dxa"/>
            <w:tcBorders/>
            <w:vAlign w:val="center"/>
          </w:tcPr>
          <w:p>
            <w:pPr>
              <w:pStyle w:val="TableContents"/>
              <w:bidi w:val="0"/>
              <w:spacing w:before="0" w:after="283"/>
              <w:jc w:val="start"/>
              <w:rPr/>
            </w:pPr>
            <w:r>
              <w:rPr/>
              <w:t xml:space="preserve">9 </w:t>
            </w:r>
          </w:p>
        </w:tc>
        <w:tc>
          <w:tcPr>
            <w:tcW w:w="1570" w:type="dxa"/>
            <w:tcBorders/>
            <w:vAlign w:val="center"/>
          </w:tcPr>
          <w:p>
            <w:pPr>
              <w:pStyle w:val="TableContents"/>
              <w:bidi w:val="0"/>
              <w:spacing w:before="0" w:after="283"/>
              <w:jc w:val="start"/>
              <w:rPr/>
            </w:pPr>
            <w:r>
              <w:rPr/>
              <w:t xml:space="preserve">50 </w:t>
            </w:r>
          </w:p>
        </w:tc>
        <w:tc>
          <w:tcPr>
            <w:tcW w:w="1570" w:type="dxa"/>
            <w:tcBorders/>
            <w:vAlign w:val="center"/>
          </w:tcPr>
          <w:p>
            <w:pPr>
              <w:pStyle w:val="TableContents"/>
              <w:bidi w:val="0"/>
              <w:spacing w:before="0" w:after="283"/>
              <w:jc w:val="start"/>
              <w:rPr/>
            </w:pPr>
            <w:r>
              <w:rPr/>
              <w:t xml:space="preserve">45 </w:t>
            </w:r>
          </w:p>
        </w:tc>
        <w:tc>
          <w:tcPr>
            <w:tcW w:w="1460" w:type="dxa"/>
            <w:tcBorders/>
            <w:vAlign w:val="center"/>
          </w:tcPr>
          <w:p>
            <w:pPr>
              <w:pStyle w:val="TableContents"/>
              <w:bidi w:val="0"/>
              <w:spacing w:before="0" w:after="283"/>
              <w:jc w:val="start"/>
              <w:rPr/>
            </w:pPr>
            <w:r>
              <w:rPr/>
              <w:t xml:space="preserve">14 </w:t>
            </w:r>
          </w:p>
        </w:tc>
        <w:tc>
          <w:tcPr>
            <w:tcW w:w="1566" w:type="dxa"/>
            <w:tcBorders/>
            <w:vAlign w:val="center"/>
          </w:tcPr>
          <w:p>
            <w:pPr>
              <w:pStyle w:val="TableContents"/>
              <w:bidi w:val="0"/>
              <w:spacing w:before="0" w:after="283"/>
              <w:jc w:val="start"/>
              <w:rPr/>
            </w:pPr>
            <w:r>
              <w:rPr/>
              <w:t xml:space="preserve">0 </w:t>
            </w:r>
          </w:p>
        </w:tc>
        <w:tc>
          <w:tcPr>
            <w:tcW w:w="779" w:type="dxa"/>
            <w:tcBorders/>
            <w:vAlign w:val="center"/>
          </w:tcPr>
          <w:p>
            <w:pPr>
              <w:pStyle w:val="TableContents"/>
              <w:bidi w:val="0"/>
              <w:spacing w:before="0" w:after="283"/>
              <w:jc w:val="start"/>
              <w:rPr/>
            </w:pPr>
            <w:r>
              <w:rPr/>
              <w:t xml:space="preserve">128 </w:t>
            </w:r>
          </w:p>
        </w:tc>
      </w:tr>
      <w:tr>
        <w:trPr/>
        <w:tc>
          <w:tcPr>
            <w:tcW w:w="655" w:type="dxa"/>
            <w:tcBorders/>
            <w:vAlign w:val="center"/>
          </w:tcPr>
          <w:p>
            <w:pPr>
              <w:pStyle w:val="TableContents"/>
              <w:bidi w:val="0"/>
              <w:spacing w:before="0" w:after="283"/>
              <w:jc w:val="start"/>
              <w:rPr/>
            </w:pPr>
            <w:r>
              <w:rPr/>
              <w:t xml:space="preserve">1971 </w:t>
            </w:r>
          </w:p>
        </w:tc>
        <w:tc>
          <w:tcPr>
            <w:tcW w:w="1950" w:type="dxa"/>
            <w:tcBorders/>
            <w:vAlign w:val="center"/>
          </w:tcPr>
          <w:p>
            <w:pPr>
              <w:pStyle w:val="TableContents"/>
              <w:bidi w:val="0"/>
              <w:spacing w:before="0" w:after="283"/>
              <w:jc w:val="start"/>
              <w:rPr/>
            </w:pPr>
            <w:r>
              <w:rPr/>
              <w:t xml:space="preserve">13 </w:t>
            </w:r>
          </w:p>
        </w:tc>
        <w:tc>
          <w:tcPr>
            <w:tcW w:w="1789" w:type="dxa"/>
            <w:tcBorders/>
            <w:vAlign w:val="center"/>
          </w:tcPr>
          <w:p>
            <w:pPr>
              <w:pStyle w:val="TableContents"/>
              <w:bidi w:val="0"/>
              <w:spacing w:before="0" w:after="283"/>
              <w:jc w:val="start"/>
              <w:rPr/>
            </w:pPr>
            <w:r>
              <w:rPr/>
              <w:t xml:space="preserve">18 </w:t>
            </w:r>
          </w:p>
        </w:tc>
        <w:tc>
          <w:tcPr>
            <w:tcW w:w="1570" w:type="dxa"/>
            <w:tcBorders/>
            <w:vAlign w:val="center"/>
          </w:tcPr>
          <w:p>
            <w:pPr>
              <w:pStyle w:val="TableContents"/>
              <w:bidi w:val="0"/>
              <w:spacing w:before="0" w:after="283"/>
              <w:jc w:val="start"/>
              <w:rPr/>
            </w:pPr>
            <w:r>
              <w:rPr/>
              <w:t xml:space="preserve">63 </w:t>
            </w:r>
          </w:p>
        </w:tc>
        <w:tc>
          <w:tcPr>
            <w:tcW w:w="1570" w:type="dxa"/>
            <w:tcBorders/>
            <w:vAlign w:val="center"/>
          </w:tcPr>
          <w:p>
            <w:pPr>
              <w:pStyle w:val="TableContents"/>
              <w:bidi w:val="0"/>
              <w:spacing w:before="0" w:after="283"/>
              <w:jc w:val="start"/>
              <w:rPr/>
            </w:pPr>
            <w:r>
              <w:rPr/>
              <w:t xml:space="preserve">37 </w:t>
            </w:r>
          </w:p>
        </w:tc>
        <w:tc>
          <w:tcPr>
            <w:tcW w:w="1460" w:type="dxa"/>
            <w:tcBorders/>
            <w:vAlign w:val="center"/>
          </w:tcPr>
          <w:p>
            <w:pPr>
              <w:pStyle w:val="TableContents"/>
              <w:bidi w:val="0"/>
              <w:spacing w:before="0" w:after="283"/>
              <w:jc w:val="start"/>
              <w:rPr/>
            </w:pPr>
            <w:r>
              <w:rPr/>
              <w:t xml:space="preserve">10 </w:t>
            </w:r>
          </w:p>
        </w:tc>
        <w:tc>
          <w:tcPr>
            <w:tcW w:w="1566" w:type="dxa"/>
            <w:tcBorders/>
            <w:vAlign w:val="center"/>
          </w:tcPr>
          <w:p>
            <w:pPr>
              <w:pStyle w:val="TableContents"/>
              <w:bidi w:val="0"/>
              <w:spacing w:before="0" w:after="283"/>
              <w:jc w:val="start"/>
              <w:rPr/>
            </w:pPr>
            <w:r>
              <w:rPr/>
              <w:t xml:space="preserve">1 </w:t>
            </w:r>
          </w:p>
        </w:tc>
        <w:tc>
          <w:tcPr>
            <w:tcW w:w="779" w:type="dxa"/>
            <w:tcBorders/>
            <w:vAlign w:val="center"/>
          </w:tcPr>
          <w:p>
            <w:pPr>
              <w:pStyle w:val="TableContents"/>
              <w:bidi w:val="0"/>
              <w:spacing w:before="0" w:after="283"/>
              <w:jc w:val="start"/>
              <w:rPr/>
            </w:pPr>
            <w:r>
              <w:rPr/>
              <w:t xml:space="preserve">142 </w:t>
            </w:r>
          </w:p>
        </w:tc>
      </w:tr>
      <w:tr>
        <w:trPr/>
        <w:tc>
          <w:tcPr>
            <w:tcW w:w="655" w:type="dxa"/>
            <w:tcBorders/>
            <w:vAlign w:val="center"/>
          </w:tcPr>
          <w:p>
            <w:pPr>
              <w:pStyle w:val="TableContents"/>
              <w:bidi w:val="0"/>
              <w:spacing w:before="0" w:after="283"/>
              <w:jc w:val="start"/>
              <w:rPr/>
            </w:pPr>
            <w:r>
              <w:rPr/>
              <w:t xml:space="preserve">1981 </w:t>
            </w:r>
          </w:p>
        </w:tc>
        <w:tc>
          <w:tcPr>
            <w:tcW w:w="1950" w:type="dxa"/>
            <w:tcBorders/>
            <w:vAlign w:val="center"/>
          </w:tcPr>
          <w:p>
            <w:pPr>
              <w:pStyle w:val="TableContents"/>
              <w:bidi w:val="0"/>
              <w:spacing w:before="0" w:after="283"/>
              <w:jc w:val="start"/>
              <w:rPr/>
            </w:pPr>
            <w:r>
              <w:rPr/>
              <w:t xml:space="preserve">22 </w:t>
            </w:r>
          </w:p>
        </w:tc>
        <w:tc>
          <w:tcPr>
            <w:tcW w:w="1789" w:type="dxa"/>
            <w:tcBorders/>
            <w:vAlign w:val="center"/>
          </w:tcPr>
          <w:p>
            <w:pPr>
              <w:pStyle w:val="TableContents"/>
              <w:bidi w:val="0"/>
              <w:spacing w:before="0" w:after="283"/>
              <w:jc w:val="start"/>
              <w:rPr/>
            </w:pPr>
            <w:r>
              <w:rPr/>
              <w:t xml:space="preserve">33 </w:t>
            </w:r>
          </w:p>
        </w:tc>
        <w:tc>
          <w:tcPr>
            <w:tcW w:w="1570" w:type="dxa"/>
            <w:tcBorders/>
            <w:vAlign w:val="center"/>
          </w:tcPr>
          <w:p>
            <w:pPr>
              <w:pStyle w:val="TableContents"/>
              <w:bidi w:val="0"/>
              <w:spacing w:before="0" w:after="283"/>
              <w:jc w:val="start"/>
              <w:rPr/>
            </w:pPr>
            <w:r>
              <w:rPr/>
              <w:t xml:space="preserve">67 </w:t>
            </w:r>
          </w:p>
        </w:tc>
        <w:tc>
          <w:tcPr>
            <w:tcW w:w="1570" w:type="dxa"/>
            <w:tcBorders/>
            <w:vAlign w:val="center"/>
          </w:tcPr>
          <w:p>
            <w:pPr>
              <w:pStyle w:val="TableContents"/>
              <w:bidi w:val="0"/>
              <w:spacing w:before="0" w:after="283"/>
              <w:jc w:val="start"/>
              <w:rPr/>
            </w:pPr>
            <w:r>
              <w:rPr/>
              <w:t xml:space="preserve">24 </w:t>
            </w:r>
          </w:p>
        </w:tc>
        <w:tc>
          <w:tcPr>
            <w:tcW w:w="1460" w:type="dxa"/>
            <w:tcBorders/>
            <w:vAlign w:val="center"/>
          </w:tcPr>
          <w:p>
            <w:pPr>
              <w:pStyle w:val="TableContents"/>
              <w:bidi w:val="0"/>
              <w:spacing w:before="0" w:after="283"/>
              <w:jc w:val="start"/>
              <w:rPr/>
            </w:pPr>
            <w:r>
              <w:rPr/>
              <w:t xml:space="preserve">10 </w:t>
            </w:r>
          </w:p>
        </w:tc>
        <w:tc>
          <w:tcPr>
            <w:tcW w:w="1566" w:type="dxa"/>
            <w:tcBorders/>
            <w:vAlign w:val="center"/>
          </w:tcPr>
          <w:p>
            <w:pPr>
              <w:pStyle w:val="TableContents"/>
              <w:bidi w:val="0"/>
              <w:spacing w:before="0" w:after="283"/>
              <w:jc w:val="start"/>
              <w:rPr/>
            </w:pPr>
            <w:r>
              <w:rPr/>
              <w:t xml:space="preserve">1 </w:t>
            </w:r>
          </w:p>
        </w:tc>
        <w:tc>
          <w:tcPr>
            <w:tcW w:w="779" w:type="dxa"/>
            <w:tcBorders/>
            <w:vAlign w:val="center"/>
          </w:tcPr>
          <w:p>
            <w:pPr>
              <w:pStyle w:val="TableContents"/>
              <w:bidi w:val="0"/>
              <w:spacing w:before="0" w:after="283"/>
              <w:jc w:val="start"/>
              <w:rPr/>
            </w:pPr>
            <w:r>
              <w:rPr/>
              <w:t xml:space="preserve">157 </w:t>
            </w:r>
          </w:p>
        </w:tc>
      </w:tr>
      <w:tr>
        <w:trPr/>
        <w:tc>
          <w:tcPr>
            <w:tcW w:w="655" w:type="dxa"/>
            <w:tcBorders/>
            <w:vAlign w:val="center"/>
          </w:tcPr>
          <w:p>
            <w:pPr>
              <w:pStyle w:val="TableContents"/>
              <w:bidi w:val="0"/>
              <w:spacing w:before="0" w:after="283"/>
              <w:jc w:val="start"/>
              <w:rPr/>
            </w:pPr>
            <w:r>
              <w:rPr/>
              <w:t xml:space="preserve">1991 </w:t>
            </w:r>
          </w:p>
        </w:tc>
        <w:tc>
          <w:tcPr>
            <w:tcW w:w="1950" w:type="dxa"/>
            <w:tcBorders/>
            <w:vAlign w:val="center"/>
          </w:tcPr>
          <w:p>
            <w:pPr>
              <w:pStyle w:val="TableContents"/>
              <w:bidi w:val="0"/>
              <w:spacing w:before="0" w:after="283"/>
              <w:jc w:val="start"/>
              <w:rPr/>
            </w:pPr>
            <w:r>
              <w:rPr/>
              <w:t xml:space="preserve">36 </w:t>
            </w:r>
          </w:p>
        </w:tc>
        <w:tc>
          <w:tcPr>
            <w:tcW w:w="1789" w:type="dxa"/>
            <w:tcBorders/>
            <w:vAlign w:val="center"/>
          </w:tcPr>
          <w:p>
            <w:pPr>
              <w:pStyle w:val="TableContents"/>
              <w:bidi w:val="0"/>
              <w:spacing w:before="0" w:after="283"/>
              <w:jc w:val="start"/>
              <w:rPr/>
            </w:pPr>
            <w:r>
              <w:rPr/>
              <w:t xml:space="preserve">42 </w:t>
            </w:r>
          </w:p>
        </w:tc>
        <w:tc>
          <w:tcPr>
            <w:tcW w:w="1570" w:type="dxa"/>
            <w:tcBorders/>
            <w:vAlign w:val="center"/>
          </w:tcPr>
          <w:p>
            <w:pPr>
              <w:pStyle w:val="TableContents"/>
              <w:bidi w:val="0"/>
              <w:spacing w:before="0" w:after="283"/>
              <w:jc w:val="start"/>
              <w:rPr/>
            </w:pPr>
            <w:r>
              <w:rPr/>
              <w:t xml:space="preserve">68 </w:t>
            </w:r>
          </w:p>
        </w:tc>
        <w:tc>
          <w:tcPr>
            <w:tcW w:w="1570" w:type="dxa"/>
            <w:tcBorders/>
            <w:vAlign w:val="center"/>
          </w:tcPr>
          <w:p>
            <w:pPr>
              <w:pStyle w:val="TableContents"/>
              <w:bidi w:val="0"/>
              <w:spacing w:before="0" w:after="283"/>
              <w:jc w:val="start"/>
              <w:rPr/>
            </w:pPr>
            <w:r>
              <w:rPr/>
              <w:t xml:space="preserve">22 </w:t>
            </w:r>
          </w:p>
        </w:tc>
        <w:tc>
          <w:tcPr>
            <w:tcW w:w="1460" w:type="dxa"/>
            <w:tcBorders/>
            <w:vAlign w:val="center"/>
          </w:tcPr>
          <w:p>
            <w:pPr>
              <w:pStyle w:val="TableContents"/>
              <w:bidi w:val="0"/>
              <w:spacing w:before="0" w:after="283"/>
              <w:jc w:val="start"/>
              <w:rPr/>
            </w:pPr>
            <w:r>
              <w:rPr/>
              <w:t xml:space="preserve">6 </w:t>
            </w:r>
          </w:p>
        </w:tc>
        <w:tc>
          <w:tcPr>
            <w:tcW w:w="1566" w:type="dxa"/>
            <w:tcBorders/>
            <w:vAlign w:val="center"/>
          </w:tcPr>
          <w:p>
            <w:pPr>
              <w:pStyle w:val="TableContents"/>
              <w:bidi w:val="0"/>
              <w:spacing w:before="0" w:after="283"/>
              <w:jc w:val="start"/>
              <w:rPr/>
            </w:pPr>
            <w:r>
              <w:rPr/>
              <w:t xml:space="preserve">0 </w:t>
            </w:r>
          </w:p>
        </w:tc>
        <w:tc>
          <w:tcPr>
            <w:tcW w:w="779" w:type="dxa"/>
            <w:tcBorders/>
            <w:vAlign w:val="center"/>
          </w:tcPr>
          <w:p>
            <w:pPr>
              <w:pStyle w:val="TableContents"/>
              <w:bidi w:val="0"/>
              <w:spacing w:before="0" w:after="283"/>
              <w:jc w:val="start"/>
              <w:rPr/>
            </w:pPr>
            <w:r>
              <w:rPr/>
              <w:t xml:space="preserve">174 </w:t>
            </w:r>
          </w:p>
        </w:tc>
      </w:tr>
      <w:tr>
        <w:trPr/>
        <w:tc>
          <w:tcPr>
            <w:tcW w:w="655" w:type="dxa"/>
            <w:tcBorders/>
            <w:vAlign w:val="center"/>
          </w:tcPr>
          <w:p>
            <w:pPr>
              <w:pStyle w:val="TableContents"/>
              <w:bidi w:val="0"/>
              <w:spacing w:before="0" w:after="283"/>
              <w:jc w:val="start"/>
              <w:rPr/>
            </w:pPr>
            <w:r>
              <w:rPr/>
              <w:t xml:space="preserve">2001 </w:t>
            </w:r>
          </w:p>
        </w:tc>
        <w:tc>
          <w:tcPr>
            <w:tcW w:w="1950" w:type="dxa"/>
            <w:tcBorders/>
            <w:vAlign w:val="center"/>
          </w:tcPr>
          <w:p>
            <w:pPr>
              <w:pStyle w:val="TableContents"/>
              <w:bidi w:val="0"/>
              <w:spacing w:before="0" w:after="283"/>
              <w:jc w:val="start"/>
              <w:rPr/>
            </w:pPr>
            <w:r>
              <w:rPr/>
              <w:t xml:space="preserve">47 </w:t>
            </w:r>
          </w:p>
        </w:tc>
        <w:tc>
          <w:tcPr>
            <w:tcW w:w="1789" w:type="dxa"/>
            <w:tcBorders/>
            <w:vAlign w:val="center"/>
          </w:tcPr>
          <w:p>
            <w:pPr>
              <w:pStyle w:val="TableContents"/>
              <w:bidi w:val="0"/>
              <w:spacing w:before="0" w:after="283"/>
              <w:jc w:val="start"/>
              <w:rPr/>
            </w:pPr>
            <w:r>
              <w:rPr/>
              <w:t xml:space="preserve">52 </w:t>
            </w:r>
          </w:p>
        </w:tc>
        <w:tc>
          <w:tcPr>
            <w:tcW w:w="1570" w:type="dxa"/>
            <w:tcBorders/>
            <w:vAlign w:val="center"/>
          </w:tcPr>
          <w:p>
            <w:pPr>
              <w:pStyle w:val="TableContents"/>
              <w:bidi w:val="0"/>
              <w:spacing w:before="0" w:after="283"/>
              <w:jc w:val="start"/>
              <w:rPr/>
            </w:pPr>
            <w:r>
              <w:rPr/>
              <w:t xml:space="preserve">56 </w:t>
            </w:r>
          </w:p>
        </w:tc>
        <w:tc>
          <w:tcPr>
            <w:tcW w:w="1570" w:type="dxa"/>
            <w:tcBorders/>
            <w:vAlign w:val="center"/>
          </w:tcPr>
          <w:p>
            <w:pPr>
              <w:pStyle w:val="TableContents"/>
              <w:bidi w:val="0"/>
              <w:spacing w:before="0" w:after="283"/>
              <w:jc w:val="start"/>
              <w:rPr/>
            </w:pPr>
            <w:r>
              <w:rPr/>
              <w:t xml:space="preserve">33 </w:t>
            </w:r>
          </w:p>
        </w:tc>
        <w:tc>
          <w:tcPr>
            <w:tcW w:w="1460" w:type="dxa"/>
            <w:tcBorders/>
            <w:vAlign w:val="center"/>
          </w:tcPr>
          <w:p>
            <w:pPr>
              <w:pStyle w:val="TableContents"/>
              <w:bidi w:val="0"/>
              <w:spacing w:before="0" w:after="283"/>
              <w:jc w:val="start"/>
              <w:rPr/>
            </w:pPr>
            <w:r>
              <w:rPr/>
              <w:t xml:space="preserve">21 </w:t>
            </w:r>
          </w:p>
        </w:tc>
        <w:tc>
          <w:tcPr>
            <w:tcW w:w="1566" w:type="dxa"/>
            <w:tcBorders/>
            <w:vAlign w:val="center"/>
          </w:tcPr>
          <w:p>
            <w:pPr>
              <w:pStyle w:val="TableContents"/>
              <w:bidi w:val="0"/>
              <w:spacing w:before="0" w:after="283"/>
              <w:jc w:val="start"/>
              <w:rPr/>
            </w:pPr>
            <w:r>
              <w:rPr/>
              <w:t xml:space="preserve">2 </w:t>
            </w:r>
          </w:p>
        </w:tc>
        <w:tc>
          <w:tcPr>
            <w:tcW w:w="779" w:type="dxa"/>
            <w:tcBorders/>
            <w:vAlign w:val="center"/>
          </w:tcPr>
          <w:p>
            <w:pPr>
              <w:pStyle w:val="TableContents"/>
              <w:bidi w:val="0"/>
              <w:spacing w:before="0" w:after="283"/>
              <w:jc w:val="start"/>
              <w:rPr/>
            </w:pPr>
            <w:r>
              <w:rPr/>
              <w:t xml:space="preserve">211 </w:t>
            </w:r>
          </w:p>
        </w:tc>
      </w:tr>
    </w:tbl>
    <w:p>
      <w:pPr>
        <w:pStyle w:val="TextBody"/>
        <w:bidi w:val="0"/>
        <w:spacing w:before="0" w:after="283"/>
        <w:jc w:val="start"/>
        <w:rPr/>
      </w:pPr>
      <w:r>
        <w:rPr/>
        <w:t xml:space="preserve">Basic consequences on metropolis size distribution </w:t>
      </w:r>
    </w:p>
    <w:p>
      <w:pPr>
        <w:pStyle w:val="TextBody"/>
        <w:bidi w:val="0"/>
        <w:spacing w:before="0" w:after="283"/>
        <w:jc w:val="start"/>
        <w:rPr/>
      </w:pPr>
      <w:r>
        <w:rPr/>
        <w:t xml:space="preserve">It may be stated that the procedure of urbanisation in Andhra Pradesh is chiefly large-city oriented. Importantly the portion of category I metropoliss has been turning up consistently through all decennaries in the century. Here, we analyze the changing construction of urban population across size category of colonies over the past 10 nose count decennaries. The turning top weightiness has been examined in the context of motion of towns across the nose count and besides outgrowth of new urban centres. It may be observed that the Class I metropoliss dominate Andhra Pradesh’s urban scene in footings of their portion urban population. In 1901, the portion of category I metropoliss was 31. 33 % whereas category V and VI towns had 11. 18 % and 0. 09 % of the urban population, severally. The portion of category I towns has bit by bit increased from 1931 onwards. The addition was maintained in the undermentioned decennaries upto 1991. In the instance of category IV and category V towns, we find that there is a downward motion from 1931 onwards and upto 1991. It is besides observed that for category II and category VI towns there is oscillating motion between 1931 and 1991. </w:t>
      </w:r>
    </w:p>
    <w:p>
      <w:pPr>
        <w:pStyle w:val="TextBody"/>
        <w:bidi w:val="0"/>
        <w:spacing w:before="0" w:after="283"/>
        <w:jc w:val="start"/>
        <w:rPr/>
      </w:pPr>
      <w:r>
        <w:rPr/>
        <w:t xml:space="preserve">3. 2 Model and Methodology </w:t>
      </w:r>
    </w:p>
    <w:p>
      <w:pPr>
        <w:pStyle w:val="TextBody"/>
        <w:bidi w:val="0"/>
        <w:spacing w:before="0" w:after="283"/>
        <w:jc w:val="start"/>
        <w:rPr/>
      </w:pPr>
      <w:r>
        <w:rPr/>
        <w:t xml:space="preserve">Let us visualise Zipf’s jurisprudence utilizing the illustration given by Gabaix ( 1999 ) . He has considered the state US and ordered the metropoliss with population figure 1 New York, figure 2 Log angels and so on. In the Y axis log of the rank is placed and log of the population is placed in X axis. Then we got a consecutive line with swills near to -1 and the same is given below: </w:t>
      </w:r>
    </w:p>
    <w:p>
      <w:pPr>
        <w:pStyle w:val="TextBody"/>
        <w:bidi w:val="0"/>
        <w:spacing w:before="0" w:after="283"/>
        <w:jc w:val="start"/>
        <w:rPr/>
      </w:pPr>
      <w:r>
        <w:rPr/>
        <w:t xml:space="preserve">The common manner of gauging the incline of the line in the graph above is as follows: </w:t>
      </w:r>
    </w:p>
    <w:p>
      <w:pPr>
        <w:pStyle w:val="TextBody"/>
        <w:bidi w:val="0"/>
        <w:spacing w:before="0" w:after="283"/>
        <w:jc w:val="start"/>
        <w:rPr/>
      </w:pPr>
      <w:r>
        <w:rPr/>
        <w:t xml:space="preserve">log ( R </w:t>
      </w:r>
      <w:r>
        <w:rPr>
          <w:position w:val="-2"/>
          <w:sz w:val="19"/>
        </w:rPr>
        <w:t xml:space="preserve">I </w:t>
      </w:r>
      <w:r>
        <w:rPr/>
        <w:t xml:space="preserve">) = ? – ? log ( S </w:t>
      </w:r>
      <w:r>
        <w:rPr>
          <w:position w:val="-2"/>
          <w:sz w:val="19"/>
        </w:rPr>
        <w:t xml:space="preserve">I </w:t>
      </w:r>
      <w:r>
        <w:rPr/>
        <w:t xml:space="preserve">) + N” …… [ 1 ] </w:t>
      </w:r>
    </w:p>
    <w:p>
      <w:pPr>
        <w:pStyle w:val="TextBody"/>
        <w:bidi w:val="0"/>
        <w:spacing w:before="0" w:after="283"/>
        <w:jc w:val="start"/>
        <w:rPr/>
      </w:pPr>
      <w:r>
        <w:rPr/>
        <w:t xml:space="preserve">where Roentgen </w:t>
      </w:r>
      <w:r>
        <w:rPr>
          <w:position w:val="-2"/>
          <w:sz w:val="19"/>
        </w:rPr>
        <w:t xml:space="preserve">I </w:t>
      </w:r>
      <w:r>
        <w:rPr/>
        <w:t xml:space="preserve">is the rank of the I </w:t>
      </w:r>
      <w:r>
        <w:rPr>
          <w:position w:val="8"/>
          <w:sz w:val="19"/>
        </w:rPr>
        <w:t xml:space="preserve">Thursday </w:t>
      </w:r>
      <w:r>
        <w:rPr/>
        <w:t xml:space="preserve">metropolis, S </w:t>
      </w:r>
      <w:r>
        <w:rPr>
          <w:position w:val="-2"/>
          <w:sz w:val="19"/>
        </w:rPr>
        <w:t xml:space="preserve">I </w:t>
      </w:r>
      <w:r>
        <w:rPr/>
        <w:t xml:space="preserve">the City Size and ? is a changeless term. It is to be noted that equation ( 1 ) is merely log transmutation of the Zipf’s jurisprudence which is expressed in the undermentioned signifier </w:t>
      </w:r>
    </w:p>
    <w:p>
      <w:pPr>
        <w:pStyle w:val="TextBody"/>
        <w:bidi w:val="0"/>
        <w:spacing w:before="0" w:after="283"/>
        <w:jc w:val="start"/>
        <w:rPr/>
      </w:pPr>
      <w:r>
        <w:rPr/>
        <w:t xml:space="preserve">Roentgen </w:t>
      </w:r>
      <w:r>
        <w:rPr>
          <w:position w:val="-2"/>
          <w:sz w:val="19"/>
        </w:rPr>
        <w:t xml:space="preserve">I </w:t>
      </w:r>
      <w:r>
        <w:rPr/>
        <w:t xml:space="preserve">= A Second </w:t>
      </w:r>
      <w:r>
        <w:rPr>
          <w:position w:val="-2"/>
          <w:sz w:val="19"/>
        </w:rPr>
        <w:t xml:space="preserve">I </w:t>
      </w:r>
      <w:r>
        <w:rPr>
          <w:position w:val="8"/>
          <w:sz w:val="19"/>
        </w:rPr>
        <w:t xml:space="preserve">– ? </w:t>
      </w:r>
      <w:r>
        <w:rPr/>
        <w:t xml:space="preserve">…….. [ 2 ] </w:t>
      </w:r>
    </w:p>
    <w:p>
      <w:pPr>
        <w:pStyle w:val="TextBody"/>
        <w:bidi w:val="0"/>
        <w:spacing w:before="0" w:after="283"/>
        <w:jc w:val="start"/>
        <w:rPr/>
      </w:pPr>
      <w:r>
        <w:rPr/>
        <w:t xml:space="preserve">Several surveies have noted that gauging this look of the Zipf’s jurisprudence outputs an OLS prejudice through standard mistakes. To rectify this prejudice, Gabaix and Ibragimov ( 2006 ) offered the undermentioned equation alternatively of equation [ 1 ] . </w:t>
      </w:r>
    </w:p>
    <w:p>
      <w:pPr>
        <w:pStyle w:val="TextBody"/>
        <w:bidi w:val="0"/>
        <w:spacing w:before="0" w:after="283"/>
        <w:jc w:val="start"/>
        <w:rPr/>
      </w:pPr>
      <w:r>
        <w:rPr/>
        <w:t xml:space="preserve">Log ( R </w:t>
      </w:r>
      <w:r>
        <w:rPr>
          <w:position w:val="-2"/>
          <w:sz w:val="19"/>
        </w:rPr>
        <w:t xml:space="preserve">I </w:t>
      </w:r>
      <w:r>
        <w:rPr/>
        <w:t xml:space="preserve">– 0. 5 ) = ? – ? log ( S </w:t>
      </w:r>
      <w:r>
        <w:rPr>
          <w:position w:val="-2"/>
          <w:sz w:val="19"/>
        </w:rPr>
        <w:t xml:space="preserve">I </w:t>
      </w:r>
      <w:r>
        <w:rPr/>
        <w:t xml:space="preserve">) + N” …… [ 3 ] </w:t>
      </w:r>
    </w:p>
    <w:p>
      <w:pPr>
        <w:pStyle w:val="TextBody"/>
        <w:bidi w:val="0"/>
        <w:spacing w:before="0" w:after="283"/>
        <w:jc w:val="start"/>
        <w:rPr/>
      </w:pPr>
      <w:r>
        <w:rPr/>
        <w:t xml:space="preserve">This corrected version is called Rank minus half regulation. In the undermentioned subdivision, we have provide consequences from both versions and remark on the differences that exist between them. </w:t>
      </w:r>
    </w:p>
    <w:p>
      <w:pPr>
        <w:pStyle w:val="TextBody"/>
        <w:bidi w:val="0"/>
        <w:spacing w:before="0" w:after="283"/>
        <w:jc w:val="start"/>
        <w:rPr/>
      </w:pPr>
      <w:r>
        <w:rPr/>
        <w:t xml:space="preserve">4. Findingss and consequences </w:t>
      </w:r>
    </w:p>
    <w:p>
      <w:pPr>
        <w:pStyle w:val="TextBody"/>
        <w:bidi w:val="0"/>
        <w:spacing w:before="0" w:after="283"/>
        <w:jc w:val="start"/>
        <w:rPr/>
      </w:pPr>
      <w:r>
        <w:rPr/>
        <w:t xml:space="preserve">The following tabular array shows the full-sample consequences of Zipf’s jurisprudence. As expected, all metropoliss / towns for all the old ages show high Roentgen </w:t>
      </w:r>
      <w:r>
        <w:rPr>
          <w:position w:val="8"/>
          <w:sz w:val="19"/>
        </w:rPr>
        <w:t xml:space="preserve">2 </w:t>
      </w:r>
      <w:r>
        <w:rPr/>
        <w:t xml:space="preserve">-value ( 0. 860 to 0. 951 ) . It is interesting to observe that the estimated coefficients (b’s ) are higher for the OLS prejudice corrected theoretical account than the original uncorrected version. Therefore, we can reason that the uncorrected Zipf’s jurisprudence has a downward prejudice on the estimated coefficient. The value of Pareto coefficient for the mention period of survey show a n-shaped form for Andhra Pradesh metropoliss and town and this is in support of the decision arrived by Parr ( 1985 ) . </w:t>
      </w:r>
    </w:p>
    <w:p>
      <w:pPr>
        <w:pStyle w:val="TextBody"/>
        <w:bidi w:val="0"/>
        <w:spacing w:before="0" w:after="283"/>
        <w:jc w:val="start"/>
        <w:rPr/>
      </w:pPr>
      <w:r>
        <w:rPr/>
        <w:t xml:space="preserve">Table 1. Regression consequences on Zipf’s jurisprudence utilizing Cities / Towns informations from </w:t>
      </w:r>
    </w:p>
    <w:p>
      <w:pPr>
        <w:pStyle w:val="TextBody"/>
        <w:bidi w:val="0"/>
        <w:spacing w:before="0" w:after="283"/>
        <w:jc w:val="start"/>
        <w:rPr/>
      </w:pPr>
      <w:r>
        <w:rPr/>
        <w:t xml:space="preserve">Andhra Pradesh </w:t>
      </w:r>
    </w:p>
    <w:tbl>
      <w:tblPr>
        <w:tblW w:w="5945" w:type="dxa"/>
        <w:jc w:val="start"/>
        <w:tblInd w:w="0" w:type="dxa"/>
        <w:tblLayout w:type="fixed"/>
        <w:tblCellMar>
          <w:top w:w="28" w:type="dxa"/>
          <w:start w:w="28" w:type="dxa"/>
          <w:bottom w:w="28" w:type="dxa"/>
          <w:end w:w="28" w:type="dxa"/>
        </w:tblCellMar>
      </w:tblPr>
      <w:tblGrid>
        <w:gridCol w:w="661"/>
        <w:gridCol w:w="1336"/>
        <w:gridCol w:w="2101"/>
        <w:gridCol w:w="1231"/>
        <w:gridCol w:w="616"/>
      </w:tblGrid>
      <w:tr>
        <w:trPr/>
        <w:tc>
          <w:tcPr>
            <w:tcW w:w="661" w:type="dxa"/>
            <w:tcBorders/>
            <w:vAlign w:val="center"/>
          </w:tcPr>
          <w:p>
            <w:pPr>
              <w:pStyle w:val="TableContents"/>
              <w:bidi w:val="0"/>
              <w:spacing w:before="0" w:after="283"/>
              <w:jc w:val="start"/>
              <w:rPr/>
            </w:pPr>
            <w:r>
              <w:rPr/>
              <w:t xml:space="preserve">Year </w:t>
            </w:r>
          </w:p>
        </w:tc>
        <w:tc>
          <w:tcPr>
            <w:tcW w:w="1336" w:type="dxa"/>
            <w:tcBorders/>
            <w:vAlign w:val="center"/>
          </w:tcPr>
          <w:p>
            <w:pPr>
              <w:pStyle w:val="TableContents"/>
              <w:bidi w:val="0"/>
              <w:spacing w:before="0" w:after="283"/>
              <w:jc w:val="start"/>
              <w:rPr/>
            </w:pPr>
            <w:r>
              <w:rPr/>
              <w:t xml:space="preserve">Uncorrected </w:t>
            </w:r>
          </w:p>
        </w:tc>
        <w:tc>
          <w:tcPr>
            <w:tcW w:w="2101" w:type="dxa"/>
            <w:tcBorders/>
            <w:vAlign w:val="center"/>
          </w:tcPr>
          <w:p>
            <w:pPr>
              <w:pStyle w:val="TableContents"/>
              <w:bidi w:val="0"/>
              <w:spacing w:before="0" w:after="283"/>
              <w:jc w:val="start"/>
              <w:rPr/>
            </w:pPr>
            <w:r>
              <w:rPr/>
              <w:t xml:space="preserve">OLS Bias Corrected </w:t>
            </w:r>
          </w:p>
        </w:tc>
        <w:tc>
          <w:tcPr>
            <w:tcW w:w="1231" w:type="dxa"/>
            <w:tcBorders/>
            <w:vAlign w:val="center"/>
          </w:tcPr>
          <w:p>
            <w:pPr>
              <w:pStyle w:val="TableContents"/>
              <w:bidi w:val="0"/>
              <w:spacing w:before="0" w:after="283"/>
              <w:jc w:val="start"/>
              <w:rPr/>
            </w:pPr>
            <w:r>
              <w:rPr/>
              <w:t xml:space="preserve">Roentgen </w:t>
            </w:r>
            <w:r>
              <w:rPr>
                <w:position w:val="8"/>
                <w:sz w:val="19"/>
              </w:rPr>
              <w:t xml:space="preserve">2 </w:t>
            </w:r>
          </w:p>
        </w:tc>
        <w:tc>
          <w:tcPr>
            <w:tcW w:w="616" w:type="dxa"/>
            <w:tcBorders/>
            <w:vAlign w:val="center"/>
          </w:tcPr>
          <w:p>
            <w:pPr>
              <w:pStyle w:val="TableContents"/>
              <w:bidi w:val="0"/>
              <w:spacing w:before="0" w:after="283"/>
              <w:jc w:val="start"/>
              <w:rPr/>
            </w:pPr>
            <w:r>
              <w:rPr/>
              <w:t xml:space="preserve">Size </w:t>
            </w:r>
          </w:p>
        </w:tc>
      </w:tr>
      <w:tr>
        <w:trPr/>
        <w:tc>
          <w:tcPr>
            <w:tcW w:w="661" w:type="dxa"/>
            <w:tcBorders/>
            <w:vAlign w:val="center"/>
          </w:tcPr>
          <w:p>
            <w:pPr>
              <w:pStyle w:val="TableContents"/>
              <w:bidi w:val="0"/>
              <w:spacing w:before="0" w:after="283"/>
              <w:jc w:val="start"/>
              <w:rPr/>
            </w:pPr>
            <w:r>
              <w:rPr/>
              <w:t xml:space="preserve">1951 </w:t>
            </w:r>
          </w:p>
        </w:tc>
        <w:tc>
          <w:tcPr>
            <w:tcW w:w="1336" w:type="dxa"/>
            <w:tcBorders/>
            <w:vAlign w:val="center"/>
          </w:tcPr>
          <w:p>
            <w:pPr>
              <w:pStyle w:val="TableContents"/>
              <w:bidi w:val="0"/>
              <w:spacing w:before="0" w:after="283"/>
              <w:jc w:val="start"/>
              <w:rPr/>
            </w:pPr>
            <w:r>
              <w:rPr/>
              <w:t xml:space="preserve">-1. 178 </w:t>
            </w:r>
          </w:p>
        </w:tc>
        <w:tc>
          <w:tcPr>
            <w:tcW w:w="2101" w:type="dxa"/>
            <w:tcBorders/>
            <w:vAlign w:val="center"/>
          </w:tcPr>
          <w:p>
            <w:pPr>
              <w:pStyle w:val="TableContents"/>
              <w:bidi w:val="0"/>
              <w:spacing w:before="0" w:after="283"/>
              <w:jc w:val="start"/>
              <w:rPr/>
            </w:pPr>
            <w:r>
              <w:rPr/>
              <w:t xml:space="preserve">-1. 229 </w:t>
            </w:r>
          </w:p>
        </w:tc>
        <w:tc>
          <w:tcPr>
            <w:tcW w:w="1231" w:type="dxa"/>
            <w:tcBorders/>
            <w:vAlign w:val="center"/>
          </w:tcPr>
          <w:p>
            <w:pPr>
              <w:pStyle w:val="TableContents"/>
              <w:bidi w:val="0"/>
              <w:spacing w:before="0" w:after="283"/>
              <w:jc w:val="start"/>
              <w:rPr/>
            </w:pPr>
            <w:r>
              <w:rPr/>
              <w:t xml:space="preserve">0. 904 </w:t>
            </w:r>
          </w:p>
        </w:tc>
        <w:tc>
          <w:tcPr>
            <w:tcW w:w="616" w:type="dxa"/>
            <w:tcBorders/>
            <w:vAlign w:val="center"/>
          </w:tcPr>
          <w:p>
            <w:pPr>
              <w:pStyle w:val="TableContents"/>
              <w:bidi w:val="0"/>
              <w:spacing w:before="0" w:after="283"/>
              <w:jc w:val="start"/>
              <w:rPr/>
            </w:pPr>
            <w:r>
              <w:rPr/>
              <w:t xml:space="preserve">126 </w:t>
            </w:r>
          </w:p>
        </w:tc>
      </w:tr>
      <w:tr>
        <w:trPr/>
        <w:tc>
          <w:tcPr>
            <w:tcW w:w="661" w:type="dxa"/>
            <w:tcBorders/>
            <w:vAlign w:val="center"/>
          </w:tcPr>
          <w:p>
            <w:pPr>
              <w:pStyle w:val="TableContents"/>
              <w:bidi w:val="0"/>
              <w:spacing w:before="0" w:after="283"/>
              <w:jc w:val="start"/>
              <w:rPr/>
            </w:pPr>
            <w:r>
              <w:rPr/>
              <w:t xml:space="preserve">1971 </w:t>
            </w:r>
          </w:p>
        </w:tc>
        <w:tc>
          <w:tcPr>
            <w:tcW w:w="1336" w:type="dxa"/>
            <w:tcBorders/>
            <w:vAlign w:val="center"/>
          </w:tcPr>
          <w:p>
            <w:pPr>
              <w:pStyle w:val="TableContents"/>
              <w:bidi w:val="0"/>
              <w:spacing w:before="0" w:after="283"/>
              <w:jc w:val="start"/>
              <w:rPr/>
            </w:pPr>
            <w:r>
              <w:rPr/>
              <w:t xml:space="preserve">-1. 053 </w:t>
            </w:r>
          </w:p>
        </w:tc>
        <w:tc>
          <w:tcPr>
            <w:tcW w:w="2101" w:type="dxa"/>
            <w:tcBorders/>
            <w:vAlign w:val="center"/>
          </w:tcPr>
          <w:p>
            <w:pPr>
              <w:pStyle w:val="TableContents"/>
              <w:bidi w:val="0"/>
              <w:spacing w:before="0" w:after="283"/>
              <w:jc w:val="start"/>
              <w:rPr/>
            </w:pPr>
            <w:r>
              <w:rPr/>
              <w:t xml:space="preserve">-1. 103 </w:t>
            </w:r>
          </w:p>
        </w:tc>
        <w:tc>
          <w:tcPr>
            <w:tcW w:w="1231" w:type="dxa"/>
            <w:tcBorders/>
            <w:vAlign w:val="center"/>
          </w:tcPr>
          <w:p>
            <w:pPr>
              <w:pStyle w:val="TableContents"/>
              <w:bidi w:val="0"/>
              <w:spacing w:before="0" w:after="283"/>
              <w:jc w:val="start"/>
              <w:rPr/>
            </w:pPr>
            <w:r>
              <w:rPr/>
              <w:t xml:space="preserve">0. 951 </w:t>
            </w:r>
          </w:p>
        </w:tc>
        <w:tc>
          <w:tcPr>
            <w:tcW w:w="616" w:type="dxa"/>
            <w:tcBorders/>
            <w:vAlign w:val="center"/>
          </w:tcPr>
          <w:p>
            <w:pPr>
              <w:pStyle w:val="TableContents"/>
              <w:bidi w:val="0"/>
              <w:spacing w:before="0" w:after="283"/>
              <w:jc w:val="start"/>
              <w:rPr/>
            </w:pPr>
            <w:r>
              <w:rPr/>
              <w:t xml:space="preserve">142 </w:t>
            </w:r>
          </w:p>
        </w:tc>
      </w:tr>
      <w:tr>
        <w:trPr/>
        <w:tc>
          <w:tcPr>
            <w:tcW w:w="661" w:type="dxa"/>
            <w:tcBorders/>
            <w:vAlign w:val="center"/>
          </w:tcPr>
          <w:p>
            <w:pPr>
              <w:pStyle w:val="TableContents"/>
              <w:bidi w:val="0"/>
              <w:spacing w:before="0" w:after="283"/>
              <w:jc w:val="start"/>
              <w:rPr/>
            </w:pPr>
            <w:r>
              <w:rPr/>
              <w:t xml:space="preserve">1991 </w:t>
            </w:r>
          </w:p>
        </w:tc>
        <w:tc>
          <w:tcPr>
            <w:tcW w:w="1336" w:type="dxa"/>
            <w:tcBorders/>
            <w:vAlign w:val="center"/>
          </w:tcPr>
          <w:p>
            <w:pPr>
              <w:pStyle w:val="TableContents"/>
              <w:bidi w:val="0"/>
              <w:spacing w:before="0" w:after="283"/>
              <w:jc w:val="start"/>
              <w:rPr/>
            </w:pPr>
            <w:r>
              <w:rPr/>
              <w:t xml:space="preserve">-0. 937 </w:t>
            </w:r>
          </w:p>
        </w:tc>
        <w:tc>
          <w:tcPr>
            <w:tcW w:w="2101" w:type="dxa"/>
            <w:tcBorders/>
            <w:vAlign w:val="center"/>
          </w:tcPr>
          <w:p>
            <w:pPr>
              <w:pStyle w:val="TableContents"/>
              <w:bidi w:val="0"/>
              <w:spacing w:before="0" w:after="283"/>
              <w:jc w:val="start"/>
              <w:rPr/>
            </w:pPr>
            <w:r>
              <w:rPr/>
              <w:t xml:space="preserve">-0. 973 </w:t>
            </w:r>
          </w:p>
        </w:tc>
        <w:tc>
          <w:tcPr>
            <w:tcW w:w="1231" w:type="dxa"/>
            <w:tcBorders/>
            <w:vAlign w:val="center"/>
          </w:tcPr>
          <w:p>
            <w:pPr>
              <w:pStyle w:val="TableContents"/>
              <w:bidi w:val="0"/>
              <w:spacing w:before="0" w:after="283"/>
              <w:jc w:val="start"/>
              <w:rPr/>
            </w:pPr>
            <w:r>
              <w:rPr/>
              <w:t xml:space="preserve">0. 902 </w:t>
            </w:r>
          </w:p>
        </w:tc>
        <w:tc>
          <w:tcPr>
            <w:tcW w:w="616" w:type="dxa"/>
            <w:tcBorders/>
            <w:vAlign w:val="center"/>
          </w:tcPr>
          <w:p>
            <w:pPr>
              <w:pStyle w:val="TableContents"/>
              <w:bidi w:val="0"/>
              <w:spacing w:before="0" w:after="283"/>
              <w:jc w:val="start"/>
              <w:rPr/>
            </w:pPr>
            <w:r>
              <w:rPr/>
              <w:t xml:space="preserve">174 </w:t>
            </w:r>
          </w:p>
        </w:tc>
      </w:tr>
      <w:tr>
        <w:trPr/>
        <w:tc>
          <w:tcPr>
            <w:tcW w:w="661" w:type="dxa"/>
            <w:tcBorders/>
            <w:vAlign w:val="center"/>
          </w:tcPr>
          <w:p>
            <w:pPr>
              <w:pStyle w:val="TableContents"/>
              <w:bidi w:val="0"/>
              <w:spacing w:before="0" w:after="283"/>
              <w:jc w:val="start"/>
              <w:rPr/>
            </w:pPr>
            <w:r>
              <w:rPr/>
              <w:t xml:space="preserve">2001 </w:t>
            </w:r>
          </w:p>
        </w:tc>
        <w:tc>
          <w:tcPr>
            <w:tcW w:w="1336" w:type="dxa"/>
            <w:tcBorders/>
            <w:vAlign w:val="center"/>
          </w:tcPr>
          <w:p>
            <w:pPr>
              <w:pStyle w:val="TableContents"/>
              <w:bidi w:val="0"/>
              <w:spacing w:before="0" w:after="283"/>
              <w:jc w:val="start"/>
              <w:rPr/>
            </w:pPr>
            <w:r>
              <w:rPr/>
              <w:t xml:space="preserve">-0. 772 </w:t>
            </w:r>
          </w:p>
        </w:tc>
        <w:tc>
          <w:tcPr>
            <w:tcW w:w="2101" w:type="dxa"/>
            <w:tcBorders/>
            <w:vAlign w:val="center"/>
          </w:tcPr>
          <w:p>
            <w:pPr>
              <w:pStyle w:val="TableContents"/>
              <w:bidi w:val="0"/>
              <w:spacing w:before="0" w:after="283"/>
              <w:jc w:val="start"/>
              <w:rPr/>
            </w:pPr>
            <w:r>
              <w:rPr/>
              <w:t xml:space="preserve">-0. 796 </w:t>
            </w:r>
          </w:p>
        </w:tc>
        <w:tc>
          <w:tcPr>
            <w:tcW w:w="1231" w:type="dxa"/>
            <w:tcBorders/>
            <w:vAlign w:val="center"/>
          </w:tcPr>
          <w:p>
            <w:pPr>
              <w:pStyle w:val="TableContents"/>
              <w:bidi w:val="0"/>
              <w:spacing w:before="0" w:after="283"/>
              <w:jc w:val="start"/>
              <w:rPr/>
            </w:pPr>
            <w:r>
              <w:rPr/>
              <w:t xml:space="preserve">0. 860 </w:t>
            </w:r>
          </w:p>
        </w:tc>
        <w:tc>
          <w:tcPr>
            <w:tcW w:w="616" w:type="dxa"/>
            <w:tcBorders/>
            <w:vAlign w:val="center"/>
          </w:tcPr>
          <w:p>
            <w:pPr>
              <w:pStyle w:val="TableContents"/>
              <w:bidi w:val="0"/>
              <w:spacing w:before="0" w:after="283"/>
              <w:jc w:val="start"/>
              <w:rPr/>
            </w:pPr>
            <w:r>
              <w:rPr/>
              <w:t xml:space="preserve">211 </w:t>
            </w:r>
          </w:p>
        </w:tc>
      </w:tr>
    </w:tbl>
    <w:p>
      <w:pPr>
        <w:pStyle w:val="TextBody"/>
        <w:bidi w:val="0"/>
        <w:spacing w:before="0" w:after="283"/>
        <w:jc w:val="start"/>
        <w:rPr/>
      </w:pPr>
      <w:r>
        <w:rPr/>
        <w:t xml:space="preserve">Mentions </w:t>
      </w:r>
    </w:p>
    <w:p>
      <w:pPr>
        <w:pStyle w:val="TextBody"/>
        <w:bidi w:val="0"/>
        <w:spacing w:before="0" w:after="283"/>
        <w:jc w:val="start"/>
        <w:rPr/>
      </w:pPr>
      <w:r>
        <w:rPr/>
        <w:t xml:space="preserve">Auerbach, F. ( 1913 ) . Das Geset der Bevolkerungskoncentration Patermanns Geograpische Mitteilungen. Vol. LIX, 73-76. </w:t>
      </w:r>
    </w:p>
    <w:p>
      <w:pPr>
        <w:pStyle w:val="TextBody"/>
        <w:bidi w:val="0"/>
        <w:spacing w:before="0" w:after="283"/>
        <w:jc w:val="start"/>
        <w:rPr/>
      </w:pPr>
      <w:r>
        <w:rPr/>
        <w:t xml:space="preserve">Eeckhout, J. ( 2004 ) . Gibrat’s jurisprudence for ( all ) metropoliss. American Economic Review 94, 1429-1451. </w:t>
      </w:r>
    </w:p>
    <w:p>
      <w:pPr>
        <w:pStyle w:val="TextBody"/>
        <w:bidi w:val="0"/>
        <w:spacing w:before="0" w:after="283"/>
        <w:jc w:val="start"/>
        <w:rPr/>
      </w:pPr>
      <w:r>
        <w:rPr/>
        <w:t xml:space="preserve">Gabaix, X. 1999 ) . Zipf’s jurisprudence for metropoliss: an account. Quarterly Journal of Economics CXIV ( 3 ) , 739-767. </w:t>
      </w:r>
    </w:p>
    <w:p>
      <w:pPr>
        <w:pStyle w:val="TextBody"/>
        <w:bidi w:val="0"/>
        <w:spacing w:before="0" w:after="283"/>
        <w:jc w:val="start"/>
        <w:rPr/>
      </w:pPr>
      <w:r>
        <w:rPr/>
        <w:t xml:space="preserve">Gabaix, X. , Ibragimov, R. ( 2006 ) . Rank – ? : A simple manner to better the OLS appraisal of tail advocates. Working Paper. </w:t>
      </w:r>
    </w:p>
    <w:p>
      <w:pPr>
        <w:pStyle w:val="TextBody"/>
        <w:bidi w:val="0"/>
        <w:spacing w:before="0" w:after="283"/>
        <w:jc w:val="start"/>
        <w:rPr/>
      </w:pPr>
      <w:r>
        <w:rPr/>
        <w:t xml:space="preserve">Gabaix, X. , Ioaanides, Y. M. ( 2004 ) . The development of metropolis size distribution. In Vernon </w:t>
      </w:r>
    </w:p>
    <w:p>
      <w:pPr>
        <w:pStyle w:val="TextBody"/>
        <w:bidi w:val="0"/>
        <w:spacing w:before="0" w:after="283"/>
        <w:jc w:val="start"/>
        <w:rPr/>
      </w:pPr>
      <w:r>
        <w:rPr/>
        <w:t xml:space="preserve">Nitsche, V. ( 2005 ) . “ Zipf Zipped.” Journal of Urban Economics 57, pp. 86-100. </w:t>
      </w:r>
    </w:p>
    <w:p>
      <w:pPr>
        <w:pStyle w:val="TextBody"/>
        <w:bidi w:val="0"/>
        <w:spacing w:before="0" w:after="283"/>
        <w:jc w:val="start"/>
        <w:rPr/>
      </w:pPr>
      <w:r>
        <w:rPr/>
        <w:t xml:space="preserve">Parr, John B. ( 1985 ) . A note on the size Distribution of Cities over Time. Journal of Urban Economics, 18, 192-212. </w:t>
      </w:r>
    </w:p>
    <w:p>
      <w:pPr>
        <w:pStyle w:val="TextBody"/>
        <w:bidi w:val="0"/>
        <w:spacing w:before="0" w:after="283"/>
        <w:jc w:val="start"/>
        <w:rPr/>
      </w:pPr>
      <w:r>
        <w:rPr/>
        <w:t xml:space="preserve">Rosen, K. , Resnick, M. ( 1980 ) . The size distribution of metropoliss: An account of the Pareto jurisprudence and primacy. Journal of Urban Economics 8, pp. 165-186. </w:t>
      </w:r>
    </w:p>
    <w:p>
      <w:pPr>
        <w:pStyle w:val="TextBody"/>
        <w:bidi w:val="0"/>
        <w:spacing w:before="0" w:after="283"/>
        <w:jc w:val="start"/>
        <w:rPr/>
      </w:pPr>
      <w:r>
        <w:rPr/>
        <w:t xml:space="preserve">Singer, H. W. ( 1936 ) . The ‘ courbe des population’ : a analogue to Pareto’s jurisprudence. Economic Journal, 46, 254-263. </w:t>
      </w:r>
    </w:p>
    <w:p>
      <w:pPr>
        <w:pStyle w:val="TextBody"/>
        <w:bidi w:val="0"/>
        <w:spacing w:before="0" w:after="283"/>
        <w:jc w:val="start"/>
        <w:rPr/>
      </w:pPr>
      <w:r>
        <w:rPr/>
        <w:t xml:space="preserve">Soo, K. T. ( 2005 ) . Zipf’s jurisprudence for Cities: A Cross Country probe. Regional Science and Urban Economics, 35, 239-263. </w:t>
      </w:r>
    </w:p>
    <w:p>
      <w:pPr>
        <w:pStyle w:val="TextBody"/>
        <w:bidi w:val="0"/>
        <w:spacing w:before="0" w:after="283"/>
        <w:jc w:val="start"/>
        <w:rPr/>
      </w:pPr>
      <w:r>
        <w:rPr/>
        <w:t xml:space="preserve">Soo, K. T. ( 2007 ) . Zipf’s jurisprudence and Urban Growth in Malaysia. Urban Studies, 44, 1-14. </w:t>
      </w:r>
    </w:p>
    <w:p>
      <w:pPr>
        <w:pStyle w:val="TextBody"/>
        <w:bidi w:val="0"/>
        <w:spacing w:before="0" w:after="283"/>
        <w:jc w:val="start"/>
        <w:rPr/>
      </w:pPr>
      <w:r>
        <w:rPr/>
        <w:t xml:space="preserve">Subbarayan, A. ( 2009 ) . “ The Size Distribution of Cities in Andhra Prades ( 1901-2001 ) ” , International Journal of Agricultural Statistical Sciences, Vol. 5, No. 2, pp. 373-382. </w:t>
      </w:r>
    </w:p>
    <w:p>
      <w:pPr>
        <w:pStyle w:val="TextBody"/>
        <w:bidi w:val="0"/>
        <w:spacing w:before="0" w:after="283"/>
        <w:jc w:val="start"/>
        <w:rPr/>
      </w:pPr>
      <w:r>
        <w:rPr/>
        <w:t xml:space="preserve">Zipf, G. K. ( 1949 ) . Human behaviour and the rule of Least Effort. Cambridge, MA: Addison Wesley Press.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https://assignbuster.com/zipfs-law-for-andhra-pradesh-cities-and-towns-1951-2001-essay/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Zipf’s law for andhra pradesh cities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ipfs-law-for-andhra-pradesh-cities-and-towns-1951-2001-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Zipf’s law for andhra pradesh cities and towns (1951 – 2001)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Zipf’s law for andhra pradesh cities and towns (1951 – 2001) essay</dc:title>
  <dc:subject>Others;</dc:subject>
  <dc:creator>AssignBuster</dc:creator>
  <cp:keywords/>
  <dc:description>This implies that in the instance of metropoliss, the 2nd largest metropolis is half the size of the first and the 3rd largest metropolis is one 3rd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