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Nicorandil c8h9n3o4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Bio Activity: </w:t>
      </w:r>
    </w:p>
    <w:tbl>
      <w:tblPr>
        <w:tblW w:w="4340" w:type="dxa"/>
        <w:jc w:val="start"/>
        <w:tblInd w:w="0" w:type="dxa"/>
        <w:tblLayout w:type="fixed"/>
        <w:tblCellMar>
          <w:top w:w="28" w:type="dxa"/>
          <w:start w:w="28" w:type="dxa"/>
          <w:bottom w:w="28" w:type="dxa"/>
          <w:end w:w="28" w:type="dxa"/>
        </w:tblCellMar>
      </w:tblPr>
      <w:tblGrid>
        <w:gridCol w:w="1831"/>
        <w:gridCol w:w="2509"/>
      </w:tblGrid>
      <w:tr>
        <w:trPr/>
        <w:tc>
          <w:tcPr>
            <w:tcW w:w="1831" w:type="dxa"/>
            <w:tcBorders/>
            <w:vAlign w:val="center"/>
          </w:tcPr>
          <w:p>
            <w:pPr>
              <w:pStyle w:val="TableContents"/>
              <w:bidi w:val="0"/>
              <w:spacing w:before="0" w:after="283"/>
              <w:jc w:val="start"/>
              <w:rPr/>
            </w:pPr>
            <w:r>
              <w:rPr/>
              <w:t xml:space="preserve">Molecular Formula </w:t>
            </w:r>
          </w:p>
        </w:tc>
        <w:tc>
          <w:tcPr>
            <w:tcW w:w="2509" w:type="dxa"/>
            <w:tcBorders/>
            <w:vAlign w:val="center"/>
          </w:tcPr>
          <w:p>
            <w:pPr>
              <w:pStyle w:val="TableContents"/>
              <w:bidi w:val="0"/>
              <w:spacing w:before="0" w:after="283"/>
              <w:jc w:val="start"/>
              <w:rPr/>
            </w:pPr>
            <w:r>
              <w:rPr/>
              <w:t xml:space="preserve">C </w:t>
            </w:r>
            <w:r>
              <w:rPr>
                <w:position w:val="-2"/>
                <w:sz w:val="19"/>
              </w:rPr>
              <w:t xml:space="preserve">8 </w:t>
            </w:r>
            <w:r>
              <w:rPr/>
              <w:t xml:space="preserve">H </w:t>
            </w:r>
            <w:r>
              <w:rPr>
                <w:position w:val="-2"/>
                <w:sz w:val="19"/>
              </w:rPr>
              <w:t xml:space="preserve">9 </w:t>
            </w:r>
            <w:r>
              <w:rPr/>
              <w:t xml:space="preserve">N </w:t>
            </w:r>
            <w:r>
              <w:rPr>
                <w:position w:val="-2"/>
                <w:sz w:val="19"/>
              </w:rPr>
              <w:t xml:space="preserve">3 </w:t>
            </w:r>
            <w:r>
              <w:rPr/>
              <w:t xml:space="preserve">O </w:t>
            </w:r>
            <w:r>
              <w:rPr>
                <w:position w:val="-2"/>
                <w:sz w:val="19"/>
              </w:rPr>
              <w:t xml:space="preserve">4 </w:t>
            </w:r>
          </w:p>
        </w:tc>
      </w:tr>
      <w:tr>
        <w:trPr/>
        <w:tc>
          <w:tcPr>
            <w:tcW w:w="1831" w:type="dxa"/>
            <w:tcBorders/>
            <w:vAlign w:val="center"/>
          </w:tcPr>
          <w:p>
            <w:pPr>
              <w:pStyle w:val="TableContents"/>
              <w:bidi w:val="0"/>
              <w:spacing w:before="0" w:after="283"/>
              <w:jc w:val="start"/>
              <w:rPr/>
            </w:pPr>
            <w:r>
              <w:rPr/>
              <w:t xml:space="preserve">Average mass </w:t>
            </w:r>
          </w:p>
        </w:tc>
        <w:tc>
          <w:tcPr>
            <w:tcW w:w="2509" w:type="dxa"/>
            <w:tcBorders/>
            <w:vAlign w:val="center"/>
          </w:tcPr>
          <w:p>
            <w:pPr>
              <w:pStyle w:val="TableContents"/>
              <w:bidi w:val="0"/>
              <w:spacing w:before="0" w:after="283"/>
              <w:jc w:val="start"/>
              <w:rPr/>
            </w:pPr>
            <w:r>
              <w:rPr/>
              <w:t xml:space="preserve">211. 175 Da </w:t>
            </w:r>
          </w:p>
        </w:tc>
      </w:tr>
      <w:tr>
        <w:trPr/>
        <w:tc>
          <w:tcPr>
            <w:tcW w:w="1831" w:type="dxa"/>
            <w:tcBorders/>
            <w:vAlign w:val="center"/>
          </w:tcPr>
          <w:p>
            <w:pPr>
              <w:pStyle w:val="TableContents"/>
              <w:bidi w:val="0"/>
              <w:spacing w:before="0" w:after="283"/>
              <w:jc w:val="start"/>
              <w:rPr/>
            </w:pPr>
            <w:r>
              <w:rPr/>
              <w:t xml:space="preserve">Density </w:t>
            </w:r>
          </w:p>
        </w:tc>
        <w:tc>
          <w:tcPr>
            <w:tcW w:w="2509" w:type="dxa"/>
            <w:tcBorders/>
            <w:vAlign w:val="center"/>
          </w:tcPr>
          <w:p>
            <w:pPr>
              <w:pStyle w:val="TableContents"/>
              <w:bidi w:val="0"/>
              <w:spacing w:before="0" w:after="283"/>
              <w:jc w:val="start"/>
              <w:rPr/>
            </w:pPr>
            <w:r>
              <w:rPr/>
              <w:t xml:space="preserve">1. 3±0. 1 g/cm </w:t>
            </w:r>
            <w:r>
              <w:rPr>
                <w:position w:val="8"/>
                <w:sz w:val="19"/>
              </w:rPr>
              <w:t xml:space="preserve">3 </w:t>
            </w:r>
          </w:p>
        </w:tc>
      </w:tr>
      <w:tr>
        <w:trPr/>
        <w:tc>
          <w:tcPr>
            <w:tcW w:w="1831" w:type="dxa"/>
            <w:tcBorders/>
            <w:vAlign w:val="center"/>
          </w:tcPr>
          <w:p>
            <w:pPr>
              <w:pStyle w:val="TableContents"/>
              <w:bidi w:val="0"/>
              <w:spacing w:before="0" w:after="283"/>
              <w:jc w:val="start"/>
              <w:rPr/>
            </w:pPr>
            <w:r>
              <w:rPr/>
              <w:t xml:space="preserve">Boiling Point </w:t>
            </w:r>
          </w:p>
        </w:tc>
        <w:tc>
          <w:tcPr>
            <w:tcW w:w="2509" w:type="dxa"/>
            <w:tcBorders/>
            <w:vAlign w:val="center"/>
          </w:tcPr>
          <w:p>
            <w:pPr>
              <w:pStyle w:val="TableContents"/>
              <w:bidi w:val="0"/>
              <w:spacing w:before="0" w:after="283"/>
              <w:jc w:val="start"/>
              <w:rPr/>
            </w:pPr>
            <w:r>
              <w:rPr/>
              <w:t xml:space="preserve">456. 7±25. 0 °C at 760 mmHg </w:t>
            </w:r>
          </w:p>
        </w:tc>
      </w:tr>
      <w:tr>
        <w:trPr/>
        <w:tc>
          <w:tcPr>
            <w:tcW w:w="1831" w:type="dxa"/>
            <w:tcBorders/>
            <w:vAlign w:val="center"/>
          </w:tcPr>
          <w:p>
            <w:pPr>
              <w:pStyle w:val="TableContents"/>
              <w:bidi w:val="0"/>
              <w:spacing w:before="0" w:after="283"/>
              <w:jc w:val="start"/>
              <w:rPr/>
            </w:pPr>
            <w:r>
              <w:rPr/>
              <w:t xml:space="preserve">Flash Point </w:t>
            </w:r>
          </w:p>
        </w:tc>
        <w:tc>
          <w:tcPr>
            <w:tcW w:w="2509" w:type="dxa"/>
            <w:tcBorders/>
            <w:vAlign w:val="center"/>
          </w:tcPr>
          <w:p>
            <w:pPr>
              <w:pStyle w:val="TableContents"/>
              <w:bidi w:val="0"/>
              <w:spacing w:before="0" w:after="283"/>
              <w:jc w:val="start"/>
              <w:rPr/>
            </w:pPr>
            <w:r>
              <w:rPr/>
              <w:t xml:space="preserve">230. 0±23. 2 °C </w:t>
            </w:r>
          </w:p>
        </w:tc>
      </w:tr>
      <w:tr>
        <w:trPr/>
        <w:tc>
          <w:tcPr>
            <w:tcW w:w="1831" w:type="dxa"/>
            <w:tcBorders/>
            <w:vAlign w:val="center"/>
          </w:tcPr>
          <w:p>
            <w:pPr>
              <w:pStyle w:val="TableContents"/>
              <w:bidi w:val="0"/>
              <w:spacing w:before="0" w:after="283"/>
              <w:jc w:val="start"/>
              <w:rPr/>
            </w:pPr>
            <w:r>
              <w:rPr/>
              <w:t xml:space="preserve">Molar Refractivity </w:t>
            </w:r>
          </w:p>
        </w:tc>
        <w:tc>
          <w:tcPr>
            <w:tcW w:w="2509" w:type="dxa"/>
            <w:tcBorders/>
            <w:vAlign w:val="center"/>
          </w:tcPr>
          <w:p>
            <w:pPr>
              <w:pStyle w:val="TableContents"/>
              <w:bidi w:val="0"/>
              <w:spacing w:before="0" w:after="283"/>
              <w:jc w:val="start"/>
              <w:rPr/>
            </w:pPr>
            <w:r>
              <w:rPr/>
              <w:t xml:space="preserve">50. 4±0. 3 cm </w:t>
            </w:r>
            <w:r>
              <w:rPr>
                <w:position w:val="8"/>
                <w:sz w:val="19"/>
              </w:rPr>
              <w:t xml:space="preserve">3 </w:t>
            </w:r>
          </w:p>
        </w:tc>
      </w:tr>
      <w:tr>
        <w:trPr/>
        <w:tc>
          <w:tcPr>
            <w:tcW w:w="1831" w:type="dxa"/>
            <w:tcBorders/>
            <w:vAlign w:val="center"/>
          </w:tcPr>
          <w:p>
            <w:pPr>
              <w:pStyle w:val="TableContents"/>
              <w:bidi w:val="0"/>
              <w:spacing w:before="0" w:after="283"/>
              <w:jc w:val="start"/>
              <w:rPr/>
            </w:pPr>
            <w:r>
              <w:rPr/>
              <w:t xml:space="preserve">Polarizability </w:t>
            </w:r>
          </w:p>
        </w:tc>
        <w:tc>
          <w:tcPr>
            <w:tcW w:w="2509" w:type="dxa"/>
            <w:tcBorders/>
            <w:vAlign w:val="center"/>
          </w:tcPr>
          <w:p>
            <w:pPr>
              <w:pStyle w:val="TableContents"/>
              <w:bidi w:val="0"/>
              <w:spacing w:before="0" w:after="283"/>
              <w:jc w:val="start"/>
              <w:rPr/>
            </w:pPr>
            <w:r>
              <w:rPr/>
              <w:t xml:space="preserve">20. 0±0. 5 10 </w:t>
            </w:r>
            <w:r>
              <w:rPr>
                <w:position w:val="8"/>
                <w:sz w:val="19"/>
              </w:rPr>
              <w:t xml:space="preserve">-24 </w:t>
            </w:r>
            <w:r>
              <w:rPr/>
              <w:t xml:space="preserve">cm </w:t>
            </w:r>
            <w:r>
              <w:rPr>
                <w:position w:val="8"/>
                <w:sz w:val="19"/>
              </w:rPr>
              <w:t xml:space="preserve">3 </w:t>
            </w:r>
          </w:p>
        </w:tc>
      </w:tr>
      <w:tr>
        <w:trPr/>
        <w:tc>
          <w:tcPr>
            <w:tcW w:w="1831" w:type="dxa"/>
            <w:tcBorders/>
            <w:vAlign w:val="center"/>
          </w:tcPr>
          <w:p>
            <w:pPr>
              <w:pStyle w:val="TableContents"/>
              <w:bidi w:val="0"/>
              <w:spacing w:before="0" w:after="283"/>
              <w:jc w:val="start"/>
              <w:rPr/>
            </w:pPr>
            <w:r>
              <w:rPr/>
              <w:t xml:space="preserve">Surface Tension </w:t>
            </w:r>
          </w:p>
        </w:tc>
        <w:tc>
          <w:tcPr>
            <w:tcW w:w="2509" w:type="dxa"/>
            <w:tcBorders/>
            <w:vAlign w:val="center"/>
          </w:tcPr>
          <w:p>
            <w:pPr>
              <w:pStyle w:val="TableContents"/>
              <w:bidi w:val="0"/>
              <w:spacing w:before="0" w:after="283"/>
              <w:jc w:val="start"/>
              <w:rPr/>
            </w:pPr>
            <w:r>
              <w:rPr/>
              <w:t xml:space="preserve">55. 3±3. 0 dyne/cm </w:t>
            </w:r>
          </w:p>
        </w:tc>
      </w:tr>
      <w:tr>
        <w:trPr/>
        <w:tc>
          <w:tcPr>
            <w:tcW w:w="1831" w:type="dxa"/>
            <w:tcBorders/>
            <w:vAlign w:val="center"/>
          </w:tcPr>
          <w:p>
            <w:pPr>
              <w:pStyle w:val="TableContents"/>
              <w:bidi w:val="0"/>
              <w:spacing w:before="0" w:after="283"/>
              <w:jc w:val="start"/>
              <w:rPr/>
            </w:pPr>
            <w:r>
              <w:rPr/>
              <w:t xml:space="preserve">Molar Volume </w:t>
            </w:r>
          </w:p>
        </w:tc>
        <w:tc>
          <w:tcPr>
            <w:tcW w:w="2509" w:type="dxa"/>
            <w:tcBorders/>
            <w:vAlign w:val="center"/>
          </w:tcPr>
          <w:p>
            <w:pPr>
              <w:pStyle w:val="TableContents"/>
              <w:bidi w:val="0"/>
              <w:spacing w:before="0" w:after="283"/>
              <w:jc w:val="start"/>
              <w:rPr/>
            </w:pPr>
            <w:r>
              <w:rPr/>
              <w:t xml:space="preserve">158. 7±3. 0 cm </w:t>
            </w:r>
            <w:r>
              <w:rPr>
                <w:position w:val="8"/>
                <w:sz w:val="19"/>
              </w:rPr>
              <w:t xml:space="preserve">3 </w:t>
            </w:r>
          </w:p>
        </w:tc>
      </w:tr>
    </w:tbl>
    <w:p>
      <w:pPr>
        <w:pStyle w:val="TextBody"/>
        <w:numPr>
          <w:ilvl w:val="0"/>
          <w:numId w:val="2"/>
        </w:numPr>
        <w:tabs>
          <w:tab w:val="clear" w:pos="1134"/>
          <w:tab w:val="left" w:pos="707" w:leader="none"/>
        </w:tabs>
        <w:bidi w:val="0"/>
        <w:spacing w:before="0" w:after="0"/>
        <w:ind w:start="707" w:hanging="283"/>
        <w:jc w:val="start"/>
        <w:rPr/>
      </w:pPr>
      <w:r>
        <w:rPr/>
        <w:t xml:space="preserve">Experimental data </w:t>
      </w:r>
    </w:p>
    <w:p>
      <w:pPr>
        <w:pStyle w:val="TextBody"/>
        <w:numPr>
          <w:ilvl w:val="0"/>
          <w:numId w:val="2"/>
        </w:numPr>
        <w:tabs>
          <w:tab w:val="clear" w:pos="1134"/>
          <w:tab w:val="left" w:pos="707" w:leader="none"/>
        </w:tabs>
        <w:bidi w:val="0"/>
        <w:spacing w:before="0" w:after="0"/>
        <w:ind w:start="707" w:hanging="283"/>
        <w:jc w:val="start"/>
        <w:rPr/>
      </w:pPr>
      <w:r>
        <w:rPr/>
        <w:t xml:space="preserve">Predicted – ACD/Labs </w:t>
      </w:r>
    </w:p>
    <w:p>
      <w:pPr>
        <w:pStyle w:val="TextBody"/>
        <w:numPr>
          <w:ilvl w:val="0"/>
          <w:numId w:val="2"/>
        </w:numPr>
        <w:tabs>
          <w:tab w:val="clear" w:pos="1134"/>
          <w:tab w:val="left" w:pos="707" w:leader="none"/>
        </w:tabs>
        <w:bidi w:val="0"/>
        <w:spacing w:before="0" w:after="0"/>
        <w:ind w:start="707" w:hanging="283"/>
        <w:jc w:val="start"/>
        <w:rPr/>
      </w:pPr>
      <w:r>
        <w:rPr/>
        <w:t xml:space="preserve">Predicted – EPISuite </w:t>
      </w:r>
    </w:p>
    <w:p>
      <w:pPr>
        <w:pStyle w:val="TextBody"/>
        <w:numPr>
          <w:ilvl w:val="0"/>
          <w:numId w:val="2"/>
        </w:numPr>
        <w:tabs>
          <w:tab w:val="clear" w:pos="1134"/>
          <w:tab w:val="left" w:pos="707" w:leader="none"/>
        </w:tabs>
        <w:bidi w:val="0"/>
        <w:spacing w:before="0" w:after="0"/>
        <w:ind w:start="707" w:hanging="283"/>
        <w:jc w:val="start"/>
        <w:rPr/>
      </w:pPr>
      <w:r>
        <w:rPr/>
        <w:t xml:space="preserve">Predicted – ChemAxon </w:t>
      </w:r>
    </w:p>
    <w:p>
      <w:pPr>
        <w:pStyle w:val="TextBody"/>
        <w:numPr>
          <w:ilvl w:val="0"/>
          <w:numId w:val="2"/>
        </w:numPr>
        <w:tabs>
          <w:tab w:val="clear" w:pos="1134"/>
          <w:tab w:val="left" w:pos="707" w:leader="none"/>
        </w:tabs>
        <w:bidi w:val="0"/>
        <w:ind w:start="707" w:hanging="283"/>
        <w:jc w:val="start"/>
        <w:rPr/>
      </w:pPr>
      <w:r>
        <w:rPr/>
        <w:t xml:space="preserve">Predicted – Mcule </w:t>
      </w:r>
    </w:p>
    <w:p>
      <w:pPr>
        <w:pStyle w:val="TextBody"/>
        <w:numPr>
          <w:ilvl w:val="0"/>
          <w:numId w:val="3"/>
        </w:numPr>
        <w:tabs>
          <w:tab w:val="clear" w:pos="1134"/>
          <w:tab w:val="left" w:pos="707" w:leader="none"/>
        </w:tabs>
        <w:bidi w:val="0"/>
        <w:spacing w:before="0" w:after="0"/>
        <w:ind w:start="707" w:hanging="283"/>
        <w:jc w:val="start"/>
        <w:rPr/>
      </w:pPr>
      <w:r>
        <w:rPr/>
        <w:t xml:space="preserve">Experimental Physico-chemical Properties </w:t>
      </w:r>
    </w:p>
    <w:p>
      <w:pPr>
        <w:pStyle w:val="Heading2"/>
        <w:numPr>
          <w:ilvl w:val="1"/>
          <w:numId w:val="3"/>
        </w:numPr>
        <w:tabs>
          <w:tab w:val="clear" w:pos="1134"/>
          <w:tab w:val="left" w:pos="1414" w:leader="none"/>
        </w:tabs>
        <w:bidi w:val="0"/>
        <w:ind w:start="1414" w:hanging="283"/>
        <w:jc w:val="start"/>
        <w:rPr/>
      </w:pPr>
      <w:r>
        <w:rPr/>
        <w:t xml:space="preserve">Experimental Melting Point: </w:t>
      </w:r>
    </w:p>
    <w:tbl>
      <w:tblPr>
        <w:tblW w:w="2926" w:type="dxa"/>
        <w:jc w:val="start"/>
        <w:tblInd w:w="1414"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90 °CTCIN0837 </w:t>
            </w:r>
          </w:p>
        </w:tc>
      </w:tr>
      <w:tr>
        <w:trPr/>
        <w:tc>
          <w:tcPr>
            <w:tcW w:w="2926" w:type="dxa"/>
            <w:tcBorders/>
            <w:vAlign w:val="center"/>
          </w:tcPr>
          <w:p>
            <w:pPr>
              <w:pStyle w:val="TableContents"/>
              <w:bidi w:val="0"/>
              <w:spacing w:before="0" w:after="283"/>
              <w:jc w:val="start"/>
              <w:rPr/>
            </w:pPr>
            <w:r>
              <w:rPr/>
              <w:t xml:space="preserve">92. 5 °CJean-Claude Bradley Open Melting Point Dataset22728 </w:t>
            </w:r>
          </w:p>
        </w:tc>
      </w:tr>
      <w:tr>
        <w:trPr/>
        <w:tc>
          <w:tcPr>
            <w:tcW w:w="2926" w:type="dxa"/>
            <w:tcBorders/>
            <w:vAlign w:val="center"/>
          </w:tcPr>
          <w:p>
            <w:pPr>
              <w:pStyle w:val="TableContents"/>
              <w:bidi w:val="0"/>
              <w:spacing w:before="0" w:after="283"/>
              <w:jc w:val="start"/>
              <w:rPr/>
            </w:pPr>
            <w:r>
              <w:rPr/>
              <w:t xml:space="preserve">92-93 °CLabNetworkLN00222789 </w:t>
            </w:r>
          </w:p>
        </w:tc>
      </w:tr>
    </w:tbl>
    <w:p>
      <w:pPr>
        <w:pStyle w:val="Heading2"/>
        <w:numPr>
          <w:ilvl w:val="1"/>
          <w:numId w:val="3"/>
        </w:numPr>
        <w:tabs>
          <w:tab w:val="clear" w:pos="1134"/>
          <w:tab w:val="left" w:pos="1414" w:leader="none"/>
        </w:tabs>
        <w:bidi w:val="0"/>
        <w:ind w:start="1414" w:hanging="283"/>
        <w:jc w:val="start"/>
        <w:rPr/>
      </w:pPr>
      <w:r>
        <w:rPr/>
        <w:t xml:space="preserve">Experimental Flash Point: </w:t>
      </w:r>
    </w:p>
    <w:tbl>
      <w:tblPr>
        <w:tblW w:w="3406" w:type="dxa"/>
        <w:jc w:val="start"/>
        <w:tblInd w:w="1414" w:type="dxa"/>
        <w:tblLayout w:type="fixed"/>
        <w:tblCellMar>
          <w:top w:w="28" w:type="dxa"/>
          <w:start w:w="28" w:type="dxa"/>
          <w:bottom w:w="28" w:type="dxa"/>
          <w:end w:w="28" w:type="dxa"/>
        </w:tblCellMar>
      </w:tblPr>
      <w:tblGrid>
        <w:gridCol w:w="3406"/>
      </w:tblGrid>
      <w:tr>
        <w:trPr/>
        <w:tc>
          <w:tcPr>
            <w:tcW w:w="3406" w:type="dxa"/>
            <w:tcBorders/>
            <w:vAlign w:val="center"/>
          </w:tcPr>
          <w:p>
            <w:pPr>
              <w:pStyle w:val="TableContents"/>
              <w:bidi w:val="0"/>
              <w:spacing w:before="0" w:after="283"/>
              <w:jc w:val="start"/>
              <w:rPr/>
            </w:pPr>
            <w:r>
              <w:rPr/>
              <w:t xml:space="preserve">230 °CLabNetworkLN00222789 </w:t>
            </w:r>
          </w:p>
        </w:tc>
      </w:tr>
    </w:tbl>
    <w:p>
      <w:pPr>
        <w:pStyle w:val="Heading2"/>
        <w:numPr>
          <w:ilvl w:val="1"/>
          <w:numId w:val="3"/>
        </w:numPr>
        <w:tabs>
          <w:tab w:val="clear" w:pos="1134"/>
          <w:tab w:val="left" w:pos="1414" w:leader="none"/>
        </w:tabs>
        <w:bidi w:val="0"/>
        <w:ind w:start="1414" w:hanging="283"/>
        <w:jc w:val="start"/>
        <w:rPr/>
      </w:pPr>
      <w:r>
        <w:rPr/>
        <w:t xml:space="preserve">Experimental Solubility: </w:t>
      </w:r>
    </w:p>
    <w:tbl>
      <w:tblPr>
        <w:tblW w:w="2926" w:type="dxa"/>
        <w:jc w:val="start"/>
        <w:tblInd w:w="1414"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DMSO 40 mg/mL; Water 17 mg/mLMedChem ExpressHY-B0341 </w:t>
            </w:r>
          </w:p>
        </w:tc>
      </w:tr>
      <w:tr>
        <w:trPr/>
        <w:tc>
          <w:tcPr>
            <w:tcW w:w="2926" w:type="dxa"/>
            <w:tcBorders/>
            <w:vAlign w:val="center"/>
          </w:tcPr>
          <w:p>
            <w:pPr>
              <w:pStyle w:val="TableContents"/>
              <w:bidi w:val="0"/>
              <w:spacing w:before="0" w:after="283"/>
              <w:jc w:val="start"/>
              <w:rPr/>
            </w:pPr>
            <w:r>
              <w:rPr/>
              <w:t xml:space="preserve">DMSO: 25mg/mLMedChem ExpressHY-B0341 </w:t>
            </w:r>
          </w:p>
        </w:tc>
      </w:tr>
      <w:tr>
        <w:trPr/>
        <w:tc>
          <w:tcPr>
            <w:tcW w:w="2926" w:type="dxa"/>
            <w:tcBorders/>
            <w:vAlign w:val="center"/>
          </w:tcPr>
          <w:p>
            <w:pPr>
              <w:pStyle w:val="TableContents"/>
              <w:bidi w:val="0"/>
              <w:spacing w:before="0" w:after="283"/>
              <w:jc w:val="start"/>
              <w:rPr/>
            </w:pPr>
            <w:r>
              <w:rPr/>
              <w:t xml:space="preserve">Soluble to 20 mM in waterTocris Bioscience2147 </w:t>
            </w:r>
          </w:p>
        </w:tc>
      </w:tr>
    </w:tbl>
    <w:p>
      <w:pPr>
        <w:pStyle w:val="TextBody"/>
        <w:numPr>
          <w:ilvl w:val="0"/>
          <w:numId w:val="3"/>
        </w:numPr>
        <w:tabs>
          <w:tab w:val="clear" w:pos="1134"/>
          <w:tab w:val="left" w:pos="707" w:leader="none"/>
        </w:tabs>
        <w:bidi w:val="0"/>
        <w:spacing w:before="0" w:after="0"/>
        <w:ind w:start="707" w:hanging="283"/>
        <w:jc w:val="start"/>
        <w:rPr/>
      </w:pPr>
      <w:r>
        <w:rPr/>
        <w:t xml:space="preserve">Predicted Physico-chemical Properties </w:t>
      </w:r>
    </w:p>
    <w:p>
      <w:pPr>
        <w:pStyle w:val="Heading2"/>
        <w:numPr>
          <w:ilvl w:val="1"/>
          <w:numId w:val="3"/>
        </w:numPr>
        <w:tabs>
          <w:tab w:val="clear" w:pos="1134"/>
          <w:tab w:val="left" w:pos="1414" w:leader="none"/>
        </w:tabs>
        <w:bidi w:val="0"/>
        <w:ind w:start="1414" w:hanging="283"/>
        <w:jc w:val="start"/>
        <w:rPr/>
      </w:pPr>
      <w:r>
        <w:rPr/>
        <w:t xml:space="preserve">Predicted Melting Point: </w:t>
      </w:r>
    </w:p>
    <w:tbl>
      <w:tblPr>
        <w:tblW w:w="1831" w:type="dxa"/>
        <w:jc w:val="start"/>
        <w:tblInd w:w="1414"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90 °CTCI </w:t>
            </w:r>
          </w:p>
        </w:tc>
      </w:tr>
      <w:tr>
        <w:trPr/>
        <w:tc>
          <w:tcPr>
            <w:tcW w:w="1831" w:type="dxa"/>
            <w:tcBorders/>
            <w:vAlign w:val="center"/>
          </w:tcPr>
          <w:p>
            <w:pPr>
              <w:pStyle w:val="TableContents"/>
              <w:bidi w:val="0"/>
              <w:spacing w:before="0" w:after="283"/>
              <w:jc w:val="start"/>
              <w:rPr/>
            </w:pPr>
            <w:r>
              <w:rPr/>
              <w:t xml:space="preserve">90 °CTCIN0837 </w:t>
            </w:r>
          </w:p>
        </w:tc>
      </w:tr>
    </w:tbl>
    <w:p>
      <w:pPr>
        <w:pStyle w:val="TextBody"/>
        <w:numPr>
          <w:ilvl w:val="0"/>
          <w:numId w:val="3"/>
        </w:numPr>
        <w:tabs>
          <w:tab w:val="clear" w:pos="1134"/>
          <w:tab w:val="left" w:pos="707" w:leader="none"/>
        </w:tabs>
        <w:bidi w:val="0"/>
        <w:spacing w:before="0" w:after="0"/>
        <w:ind w:start="707" w:hanging="283"/>
        <w:jc w:val="start"/>
        <w:rPr/>
      </w:pPr>
      <w:r>
        <w:rPr/>
        <w:t xml:space="preserve">Miscellaneous </w:t>
      </w:r>
    </w:p>
    <w:p>
      <w:pPr>
        <w:pStyle w:val="Heading2"/>
        <w:numPr>
          <w:ilvl w:val="1"/>
          <w:numId w:val="3"/>
        </w:numPr>
        <w:tabs>
          <w:tab w:val="clear" w:pos="1134"/>
          <w:tab w:val="left" w:pos="1414" w:leader="none"/>
        </w:tabs>
        <w:bidi w:val="0"/>
        <w:ind w:start="1414" w:hanging="283"/>
        <w:jc w:val="start"/>
        <w:rPr/>
      </w:pPr>
      <w:r>
        <w:rPr/>
        <w:t xml:space="preserve">Target Organs: </w:t>
      </w:r>
    </w:p>
    <w:tbl>
      <w:tblPr>
        <w:tblW w:w="2926" w:type="dxa"/>
        <w:jc w:val="start"/>
        <w:tblInd w:w="1414"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Potassium Channel activatorTargetMolT0075 </w:t>
            </w:r>
          </w:p>
        </w:tc>
      </w:tr>
    </w:tbl>
    <w:p>
      <w:pPr>
        <w:pStyle w:val="Heading2"/>
        <w:numPr>
          <w:ilvl w:val="1"/>
          <w:numId w:val="3"/>
        </w:numPr>
        <w:tabs>
          <w:tab w:val="clear" w:pos="1134"/>
          <w:tab w:val="left" w:pos="1414" w:leader="none"/>
        </w:tabs>
        <w:bidi w:val="0"/>
        <w:ind w:start="1414" w:hanging="283"/>
        <w:jc w:val="start"/>
        <w:rPr/>
      </w:pPr>
      <w:r>
        <w:rPr/>
        <w:t xml:space="preserve">Drug Status: </w:t>
      </w:r>
    </w:p>
    <w:tbl>
      <w:tblPr>
        <w:tblW w:w="4276" w:type="dxa"/>
        <w:jc w:val="start"/>
        <w:tblInd w:w="1414" w:type="dxa"/>
        <w:tblLayout w:type="fixed"/>
        <w:tblCellMar>
          <w:top w:w="28" w:type="dxa"/>
          <w:start w:w="28" w:type="dxa"/>
          <w:bottom w:w="28" w:type="dxa"/>
          <w:end w:w="28" w:type="dxa"/>
        </w:tblCellMar>
      </w:tblPr>
      <w:tblGrid>
        <w:gridCol w:w="4276"/>
      </w:tblGrid>
      <w:tr>
        <w:trPr/>
        <w:tc>
          <w:tcPr>
            <w:tcW w:w="4276" w:type="dxa"/>
            <w:tcBorders/>
            <w:vAlign w:val="center"/>
          </w:tcPr>
          <w:p>
            <w:pPr>
              <w:pStyle w:val="TableContents"/>
              <w:bidi w:val="0"/>
              <w:spacing w:before="0" w:after="283"/>
              <w:jc w:val="start"/>
              <w:rPr/>
            </w:pPr>
            <w:r>
              <w:rPr/>
              <w:t xml:space="preserve">approvedBIONET-Key OrganicsHS-0049 </w:t>
            </w:r>
          </w:p>
        </w:tc>
      </w:tr>
    </w:tbl>
    <w:p>
      <w:pPr>
        <w:pStyle w:val="Heading2"/>
        <w:numPr>
          <w:ilvl w:val="1"/>
          <w:numId w:val="3"/>
        </w:numPr>
        <w:tabs>
          <w:tab w:val="clear" w:pos="1134"/>
          <w:tab w:val="left" w:pos="1414" w:leader="none"/>
        </w:tabs>
        <w:bidi w:val="0"/>
        <w:ind w:start="1414" w:hanging="283"/>
        <w:jc w:val="start"/>
        <w:rPr/>
      </w:pPr>
      <w:r>
        <w:rPr/>
        <w:t xml:space="preserve">Bio Activity: </w:t>
      </w:r>
    </w:p>
    <w:tbl>
      <w:tblPr>
        <w:tblW w:w="2926" w:type="dxa"/>
        <w:jc w:val="start"/>
        <w:tblInd w:w="1414"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Antioxidant; Zerenex Molecular[ZBioX-0564] </w:t>
            </w:r>
          </w:p>
        </w:tc>
      </w:tr>
      <w:tr>
        <w:trPr/>
        <w:tc>
          <w:tcPr>
            <w:tcW w:w="2926" w:type="dxa"/>
            <w:tcBorders/>
            <w:vAlign w:val="center"/>
          </w:tcPr>
          <w:p>
            <w:pPr>
              <w:pStyle w:val="TableContents"/>
              <w:bidi w:val="0"/>
              <w:spacing w:before="0" w:after="283"/>
              <w:jc w:val="start"/>
              <w:rPr/>
            </w:pPr>
            <w:r>
              <w:rPr/>
              <w:t xml:space="preserve">Inward rectifier Potassium ChannelsTocris Bioscience2147 </w:t>
            </w:r>
          </w:p>
        </w:tc>
      </w:tr>
      <w:tr>
        <w:trPr/>
        <w:tc>
          <w:tcPr>
            <w:tcW w:w="2926" w:type="dxa"/>
            <w:tcBorders/>
            <w:vAlign w:val="center"/>
          </w:tcPr>
          <w:p>
            <w:pPr>
              <w:pStyle w:val="TableContents"/>
              <w:bidi w:val="0"/>
              <w:spacing w:before="0" w:after="283"/>
              <w:jc w:val="start"/>
              <w:rPr/>
            </w:pPr>
            <w:r>
              <w:rPr/>
              <w:t xml:space="preserve">Ion ChannelsTocris Bioscience2147 </w:t>
            </w:r>
          </w:p>
        </w:tc>
      </w:tr>
      <w:tr>
        <w:trPr/>
        <w:tc>
          <w:tcPr>
            <w:tcW w:w="2926" w:type="dxa"/>
            <w:tcBorders/>
            <w:vAlign w:val="center"/>
          </w:tcPr>
          <w:p>
            <w:pPr>
              <w:pStyle w:val="TableContents"/>
              <w:bidi w:val="0"/>
              <w:spacing w:before="0" w:after="283"/>
              <w:jc w:val="start"/>
              <w:rPr/>
            </w:pPr>
            <w:r>
              <w:rPr/>
              <w:t xml:space="preserve">Kir6 (KATP) channel opener and NO donorTocris Bioscience2147 </w:t>
            </w:r>
          </w:p>
        </w:tc>
      </w:tr>
      <w:tr>
        <w:trPr/>
        <w:tc>
          <w:tcPr>
            <w:tcW w:w="2926" w:type="dxa"/>
            <w:tcBorders/>
            <w:vAlign w:val="center"/>
          </w:tcPr>
          <w:p>
            <w:pPr>
              <w:pStyle w:val="TableContents"/>
              <w:bidi w:val="0"/>
              <w:spacing w:before="0" w:after="283"/>
              <w:jc w:val="start"/>
              <w:rPr/>
            </w:pPr>
            <w:r>
              <w:rPr/>
              <w:t xml:space="preserve">Kir6 (KATP) channel opener and NO donor; antianginal agent. Preferentially activates SUR2B- versus SUR2A-containing Kir6 channels (EC50 values are 10 and &gt; 500 ? M respectively) and causes 1. 6-fold increase in cardiac eNOS expression. Displays coronary and peripheral vasodilatory properties, reduces both pre- and after-load, and increases coronary blood flow. Also displays cardioprotective effects, possibly through ischemic preconditioning. Tocris Bioscience2147 </w:t>
            </w:r>
          </w:p>
        </w:tc>
      </w:tr>
      <w:tr>
        <w:trPr/>
        <w:tc>
          <w:tcPr>
            <w:tcW w:w="2926" w:type="dxa"/>
            <w:tcBorders/>
            <w:vAlign w:val="center"/>
          </w:tcPr>
          <w:p>
            <w:pPr>
              <w:pStyle w:val="TableContents"/>
              <w:bidi w:val="0"/>
              <w:spacing w:before="0" w:after="283"/>
              <w:jc w:val="start"/>
              <w:rPr/>
            </w:pPr>
            <w:r>
              <w:rPr/>
              <w:t xml:space="preserve">Kir6 (KATP) channel opener and NO donor; antianginal agent. Preferentially activates SUR2B- versus SUR2A-containing Kir6 channels (EC50 values are 10 and &gt; 500 ? M respectively) and causes 1. 6-fold increase in cardiac eNOS expression. Displays coronary and peripheral vasodilatory properties, reduces both pre- and after-load, and increases coronary blood flow. Also displays cardioprotective effects, possibly through ischemic preconditioning. Tocris Bioscience2147 </w:t>
            </w:r>
          </w:p>
        </w:tc>
      </w:tr>
      <w:tr>
        <w:trPr/>
        <w:tc>
          <w:tcPr>
            <w:tcW w:w="2926" w:type="dxa"/>
            <w:tcBorders/>
            <w:vAlign w:val="center"/>
          </w:tcPr>
          <w:p>
            <w:pPr>
              <w:pStyle w:val="TableContents"/>
              <w:bidi w:val="0"/>
              <w:spacing w:before="0" w:after="283"/>
              <w:jc w:val="start"/>
              <w:rPr/>
            </w:pPr>
            <w:r>
              <w:rPr/>
              <w:t xml:space="preserve">Membrane Tranporter/Ion ChannelMedChem ExpressHY-B0341 </w:t>
            </w:r>
          </w:p>
        </w:tc>
      </w:tr>
      <w:tr>
        <w:trPr/>
        <w:tc>
          <w:tcPr>
            <w:tcW w:w="2926" w:type="dxa"/>
            <w:tcBorders/>
            <w:vAlign w:val="center"/>
          </w:tcPr>
          <w:p>
            <w:pPr>
              <w:pStyle w:val="TableContents"/>
              <w:bidi w:val="0"/>
              <w:spacing w:before="0" w:after="283"/>
              <w:jc w:val="start"/>
              <w:rPr/>
            </w:pPr>
            <w:r>
              <w:rPr/>
              <w:t xml:space="preserve">Membrane Tranporter/Ion Channel; MedChem ExpressHY-B0341 </w:t>
            </w:r>
          </w:p>
        </w:tc>
      </w:tr>
      <w:tr>
        <w:trPr/>
        <w:tc>
          <w:tcPr>
            <w:tcW w:w="2926" w:type="dxa"/>
            <w:tcBorders/>
            <w:vAlign w:val="center"/>
          </w:tcPr>
          <w:p>
            <w:pPr>
              <w:pStyle w:val="TableContents"/>
              <w:bidi w:val="0"/>
              <w:spacing w:before="0" w:after="283"/>
              <w:jc w:val="start"/>
              <w:rPr/>
            </w:pPr>
            <w:r>
              <w:rPr/>
              <w:t xml:space="preserve">Membrane Transporter/Ion ChannelTargetMolT0075 </w:t>
            </w:r>
          </w:p>
        </w:tc>
      </w:tr>
      <w:tr>
        <w:trPr/>
        <w:tc>
          <w:tcPr>
            <w:tcW w:w="2926" w:type="dxa"/>
            <w:tcBorders/>
            <w:vAlign w:val="center"/>
          </w:tcPr>
          <w:p>
            <w:pPr>
              <w:pStyle w:val="TableContents"/>
              <w:bidi w:val="0"/>
              <w:spacing w:before="0" w:after="283"/>
              <w:jc w:val="start"/>
              <w:rPr/>
            </w:pPr>
            <w:r>
              <w:rPr/>
              <w:t xml:space="preserve">Nicorandil is potassium channel activator. MedChem Express </w:t>
            </w:r>
          </w:p>
        </w:tc>
      </w:tr>
      <w:tr>
        <w:trPr/>
        <w:tc>
          <w:tcPr>
            <w:tcW w:w="2926" w:type="dxa"/>
            <w:tcBorders/>
            <w:vAlign w:val="center"/>
          </w:tcPr>
          <w:p>
            <w:pPr>
              <w:pStyle w:val="TableContents"/>
              <w:bidi w:val="0"/>
              <w:spacing w:before="0" w:after="283"/>
              <w:jc w:val="start"/>
              <w:rPr/>
            </w:pPr>
            <w:r>
              <w:rPr/>
              <w:t xml:space="preserve">Nicorandil is potassium channel activator.; Target: Potassium Channel; Nicorandil is a vasodilatory drug used to treat angina. MedChem ExpressHY-B0341 </w:t>
            </w:r>
          </w:p>
        </w:tc>
      </w:tr>
      <w:tr>
        <w:trPr/>
        <w:tc>
          <w:tcPr>
            <w:tcW w:w="2926" w:type="dxa"/>
            <w:tcBorders/>
            <w:vAlign w:val="center"/>
          </w:tcPr>
          <w:p>
            <w:pPr>
              <w:pStyle w:val="TableContents"/>
              <w:bidi w:val="0"/>
              <w:spacing w:before="0" w:after="283"/>
              <w:jc w:val="start"/>
              <w:rPr/>
            </w:pPr>
            <w:r>
              <w:rPr/>
              <w:t xml:space="preserve">Nicorandil is potassium channel activator.; Target: Potassium ChannelNicorandil is a vasodilatory drug used to treat angina. Nicorandil stimulates guanylate cyclase to increase formation of cyclic GMP (cGMP). cGMP activates protein kinase G (PKG) which phosphorylates and inhibits GTPase RhoA and decreases Rho-kinase activity. Reduced Rho-kinase activity permits an increase in myosin phosphatase activity, decreasing the calcium sensitivity of the smooth muscle. PKG also activates the sarcolemma calcium pump to remove activating calcium. PKG acts on K+ channels to promote K+ efflux and the ensuing hyperpolarization inhibits voltage-gated calcium channels. Overall, this leads to relaxation of the smooth muscle and coronary vasodilation [1, 2]. MedChem ExpressHY-B0341 </w:t>
            </w:r>
          </w:p>
        </w:tc>
      </w:tr>
      <w:tr>
        <w:trPr/>
        <w:tc>
          <w:tcPr>
            <w:tcW w:w="2926" w:type="dxa"/>
            <w:tcBorders/>
            <w:vAlign w:val="center"/>
          </w:tcPr>
          <w:p>
            <w:pPr>
              <w:pStyle w:val="TableContents"/>
              <w:bidi w:val="0"/>
              <w:spacing w:before="0" w:after="283"/>
              <w:jc w:val="start"/>
              <w:rPr/>
            </w:pPr>
            <w:r>
              <w:rPr/>
              <w:t xml:space="preserve">Potassium ChannelTargetMolT0075 </w:t>
            </w:r>
          </w:p>
        </w:tc>
      </w:tr>
      <w:tr>
        <w:trPr/>
        <w:tc>
          <w:tcPr>
            <w:tcW w:w="2926" w:type="dxa"/>
            <w:tcBorders/>
            <w:vAlign w:val="center"/>
          </w:tcPr>
          <w:p>
            <w:pPr>
              <w:pStyle w:val="TableContents"/>
              <w:bidi w:val="0"/>
              <w:spacing w:before="0" w:after="283"/>
              <w:jc w:val="start"/>
              <w:rPr/>
            </w:pPr>
            <w:r>
              <w:rPr/>
              <w:t xml:space="preserve">Potassium ChannelsTocris Bioscience2147 </w:t>
            </w:r>
          </w:p>
        </w:tc>
      </w:tr>
      <w:tr>
        <w:trPr/>
        <w:tc>
          <w:tcPr>
            <w:tcW w:w="2926" w:type="dxa"/>
            <w:tcBorders/>
            <w:vAlign w:val="center"/>
          </w:tcPr>
          <w:p>
            <w:pPr>
              <w:pStyle w:val="TableContents"/>
              <w:bidi w:val="0"/>
              <w:spacing w:before="0" w:after="283"/>
              <w:jc w:val="start"/>
              <w:rPr/>
            </w:pPr>
            <w:r>
              <w:rPr/>
              <w:t xml:space="preserve">Potassiun ChannelMedChem ExpressHY-B0341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2133"/>
        <w:gridCol w:w="2207"/>
      </w:tblGrid>
      <w:tr>
        <w:trPr/>
        <w:tc>
          <w:tcPr>
            <w:tcW w:w="2133" w:type="dxa"/>
            <w:tcBorders/>
            <w:vAlign w:val="center"/>
          </w:tcPr>
          <w:p>
            <w:pPr>
              <w:pStyle w:val="TableContents"/>
              <w:bidi w:val="0"/>
              <w:spacing w:before="0" w:after="283"/>
              <w:jc w:val="start"/>
              <w:rPr/>
            </w:pPr>
            <w:r>
              <w:rPr/>
              <w:t xml:space="preserve">Density: </w:t>
            </w:r>
          </w:p>
        </w:tc>
        <w:tc>
          <w:tcPr>
            <w:tcW w:w="2207" w:type="dxa"/>
            <w:tcBorders/>
            <w:vAlign w:val="center"/>
          </w:tcPr>
          <w:p>
            <w:pPr>
              <w:pStyle w:val="TableContents"/>
              <w:bidi w:val="0"/>
              <w:spacing w:before="0" w:after="283"/>
              <w:jc w:val="start"/>
              <w:rPr/>
            </w:pPr>
            <w:r>
              <w:rPr/>
              <w:t xml:space="preserve">1. 3±0. 1 g/cm </w:t>
            </w:r>
            <w:r>
              <w:rPr>
                <w:position w:val="8"/>
                <w:sz w:val="19"/>
              </w:rPr>
              <w:t xml:space="preserve">3 </w:t>
            </w:r>
          </w:p>
        </w:tc>
      </w:tr>
      <w:tr>
        <w:trPr/>
        <w:tc>
          <w:tcPr>
            <w:tcW w:w="2133" w:type="dxa"/>
            <w:tcBorders/>
            <w:vAlign w:val="center"/>
          </w:tcPr>
          <w:p>
            <w:pPr>
              <w:pStyle w:val="TableContents"/>
              <w:bidi w:val="0"/>
              <w:spacing w:before="0" w:after="283"/>
              <w:jc w:val="start"/>
              <w:rPr/>
            </w:pPr>
            <w:r>
              <w:rPr/>
              <w:t xml:space="preserve">Boiling Point: </w:t>
            </w:r>
          </w:p>
        </w:tc>
        <w:tc>
          <w:tcPr>
            <w:tcW w:w="2207" w:type="dxa"/>
            <w:tcBorders/>
            <w:vAlign w:val="center"/>
          </w:tcPr>
          <w:p>
            <w:pPr>
              <w:pStyle w:val="TableContents"/>
              <w:bidi w:val="0"/>
              <w:spacing w:before="0" w:after="283"/>
              <w:jc w:val="start"/>
              <w:rPr/>
            </w:pPr>
            <w:r>
              <w:rPr/>
              <w:t xml:space="preserve">456. 7±25. 0 °C at 760 mmHg </w:t>
            </w:r>
          </w:p>
        </w:tc>
      </w:tr>
      <w:tr>
        <w:trPr/>
        <w:tc>
          <w:tcPr>
            <w:tcW w:w="2133" w:type="dxa"/>
            <w:tcBorders/>
            <w:vAlign w:val="center"/>
          </w:tcPr>
          <w:p>
            <w:pPr>
              <w:pStyle w:val="TableContents"/>
              <w:bidi w:val="0"/>
              <w:spacing w:before="0" w:after="283"/>
              <w:jc w:val="start"/>
              <w:rPr/>
            </w:pPr>
            <w:r>
              <w:rPr/>
              <w:t xml:space="preserve">Vapour Pressure: </w:t>
            </w:r>
          </w:p>
        </w:tc>
        <w:tc>
          <w:tcPr>
            <w:tcW w:w="2207" w:type="dxa"/>
            <w:tcBorders/>
            <w:vAlign w:val="center"/>
          </w:tcPr>
          <w:p>
            <w:pPr>
              <w:pStyle w:val="TableContents"/>
              <w:bidi w:val="0"/>
              <w:spacing w:before="0" w:after="283"/>
              <w:jc w:val="start"/>
              <w:rPr/>
            </w:pPr>
            <w:r>
              <w:rPr/>
              <w:t xml:space="preserve">0. 0±1. 1 mmHg at 25°C </w:t>
            </w:r>
          </w:p>
        </w:tc>
      </w:tr>
      <w:tr>
        <w:trPr/>
        <w:tc>
          <w:tcPr>
            <w:tcW w:w="2133" w:type="dxa"/>
            <w:tcBorders/>
            <w:vAlign w:val="center"/>
          </w:tcPr>
          <w:p>
            <w:pPr>
              <w:pStyle w:val="TableContents"/>
              <w:bidi w:val="0"/>
              <w:spacing w:before="0" w:after="283"/>
              <w:jc w:val="start"/>
              <w:rPr/>
            </w:pPr>
            <w:r>
              <w:rPr/>
              <w:t xml:space="preserve">Enthalpy of Vaporization: </w:t>
            </w:r>
          </w:p>
        </w:tc>
        <w:tc>
          <w:tcPr>
            <w:tcW w:w="2207" w:type="dxa"/>
            <w:tcBorders/>
            <w:vAlign w:val="center"/>
          </w:tcPr>
          <w:p>
            <w:pPr>
              <w:pStyle w:val="TableContents"/>
              <w:bidi w:val="0"/>
              <w:spacing w:before="0" w:after="283"/>
              <w:jc w:val="start"/>
              <w:rPr/>
            </w:pPr>
            <w:r>
              <w:rPr/>
              <w:t xml:space="preserve">71. 7±3. 0 kJ/mol </w:t>
            </w:r>
          </w:p>
        </w:tc>
      </w:tr>
      <w:tr>
        <w:trPr/>
        <w:tc>
          <w:tcPr>
            <w:tcW w:w="2133" w:type="dxa"/>
            <w:tcBorders/>
            <w:vAlign w:val="center"/>
          </w:tcPr>
          <w:p>
            <w:pPr>
              <w:pStyle w:val="TableContents"/>
              <w:bidi w:val="0"/>
              <w:spacing w:before="0" w:after="283"/>
              <w:jc w:val="start"/>
              <w:rPr/>
            </w:pPr>
            <w:r>
              <w:rPr/>
              <w:t xml:space="preserve">Flash Point: </w:t>
            </w:r>
          </w:p>
        </w:tc>
        <w:tc>
          <w:tcPr>
            <w:tcW w:w="2207" w:type="dxa"/>
            <w:tcBorders/>
            <w:vAlign w:val="center"/>
          </w:tcPr>
          <w:p>
            <w:pPr>
              <w:pStyle w:val="TableContents"/>
              <w:bidi w:val="0"/>
              <w:spacing w:before="0" w:after="283"/>
              <w:jc w:val="start"/>
              <w:rPr/>
            </w:pPr>
            <w:r>
              <w:rPr/>
              <w:t xml:space="preserve">230. 0±23. 2 °C </w:t>
            </w:r>
          </w:p>
        </w:tc>
      </w:tr>
      <w:tr>
        <w:trPr/>
        <w:tc>
          <w:tcPr>
            <w:tcW w:w="2133" w:type="dxa"/>
            <w:tcBorders/>
            <w:vAlign w:val="center"/>
          </w:tcPr>
          <w:p>
            <w:pPr>
              <w:pStyle w:val="TableContents"/>
              <w:bidi w:val="0"/>
              <w:spacing w:before="0" w:after="283"/>
              <w:jc w:val="start"/>
              <w:rPr/>
            </w:pPr>
            <w:r>
              <w:rPr/>
              <w:t xml:space="preserve">Index of Refraction: </w:t>
            </w:r>
          </w:p>
        </w:tc>
        <w:tc>
          <w:tcPr>
            <w:tcW w:w="2207" w:type="dxa"/>
            <w:tcBorders/>
            <w:vAlign w:val="center"/>
          </w:tcPr>
          <w:p>
            <w:pPr>
              <w:pStyle w:val="TableContents"/>
              <w:bidi w:val="0"/>
              <w:spacing w:before="0" w:after="283"/>
              <w:jc w:val="start"/>
              <w:rPr/>
            </w:pPr>
            <w:r>
              <w:rPr/>
              <w:t xml:space="preserve">1. 548 </w:t>
            </w:r>
          </w:p>
        </w:tc>
      </w:tr>
      <w:tr>
        <w:trPr/>
        <w:tc>
          <w:tcPr>
            <w:tcW w:w="2133" w:type="dxa"/>
            <w:tcBorders/>
            <w:vAlign w:val="center"/>
          </w:tcPr>
          <w:p>
            <w:pPr>
              <w:pStyle w:val="TableContents"/>
              <w:bidi w:val="0"/>
              <w:spacing w:before="0" w:after="283"/>
              <w:jc w:val="start"/>
              <w:rPr/>
            </w:pPr>
            <w:r>
              <w:rPr/>
              <w:t xml:space="preserve">Molar Refractivity: </w:t>
            </w:r>
          </w:p>
        </w:tc>
        <w:tc>
          <w:tcPr>
            <w:tcW w:w="2207" w:type="dxa"/>
            <w:tcBorders/>
            <w:vAlign w:val="center"/>
          </w:tcPr>
          <w:p>
            <w:pPr>
              <w:pStyle w:val="TableContents"/>
              <w:bidi w:val="0"/>
              <w:spacing w:before="0" w:after="283"/>
              <w:jc w:val="start"/>
              <w:rPr/>
            </w:pPr>
            <w:r>
              <w:rPr/>
              <w:t xml:space="preserve">50. 4±0. 3 cm </w:t>
            </w:r>
            <w:r>
              <w:rPr>
                <w:position w:val="8"/>
                <w:sz w:val="19"/>
              </w:rPr>
              <w:t xml:space="preserve">3 </w:t>
            </w:r>
          </w:p>
        </w:tc>
      </w:tr>
      <w:tr>
        <w:trPr/>
        <w:tc>
          <w:tcPr>
            <w:tcW w:w="2133" w:type="dxa"/>
            <w:tcBorders/>
            <w:vAlign w:val="center"/>
          </w:tcPr>
          <w:p>
            <w:pPr>
              <w:pStyle w:val="TableContents"/>
              <w:bidi w:val="0"/>
              <w:spacing w:before="0" w:after="283"/>
              <w:jc w:val="start"/>
              <w:rPr/>
            </w:pPr>
            <w:r>
              <w:rPr/>
              <w:t xml:space="preserve">#H bond acceptors: </w:t>
            </w:r>
          </w:p>
        </w:tc>
        <w:tc>
          <w:tcPr>
            <w:tcW w:w="2207" w:type="dxa"/>
            <w:tcBorders/>
            <w:vAlign w:val="center"/>
          </w:tcPr>
          <w:p>
            <w:pPr>
              <w:pStyle w:val="TableContents"/>
              <w:bidi w:val="0"/>
              <w:spacing w:before="0" w:after="283"/>
              <w:jc w:val="start"/>
              <w:rPr/>
            </w:pPr>
            <w:r>
              <w:rPr/>
              <w:t xml:space="preserve">7 </w:t>
            </w:r>
          </w:p>
        </w:tc>
      </w:tr>
      <w:tr>
        <w:trPr/>
        <w:tc>
          <w:tcPr>
            <w:tcW w:w="2133" w:type="dxa"/>
            <w:tcBorders/>
            <w:vAlign w:val="center"/>
          </w:tcPr>
          <w:p>
            <w:pPr>
              <w:pStyle w:val="TableContents"/>
              <w:bidi w:val="0"/>
              <w:spacing w:before="0" w:after="283"/>
              <w:jc w:val="start"/>
              <w:rPr/>
            </w:pPr>
            <w:r>
              <w:rPr/>
              <w:t xml:space="preserve">#H bond donors: </w:t>
            </w:r>
          </w:p>
        </w:tc>
        <w:tc>
          <w:tcPr>
            <w:tcW w:w="2207" w:type="dxa"/>
            <w:tcBorders/>
            <w:vAlign w:val="center"/>
          </w:tcPr>
          <w:p>
            <w:pPr>
              <w:pStyle w:val="TableContents"/>
              <w:bidi w:val="0"/>
              <w:spacing w:before="0" w:after="283"/>
              <w:jc w:val="start"/>
              <w:rPr/>
            </w:pPr>
            <w:r>
              <w:rPr/>
              <w:t xml:space="preserve">1 </w:t>
            </w:r>
          </w:p>
        </w:tc>
      </w:tr>
      <w:tr>
        <w:trPr/>
        <w:tc>
          <w:tcPr>
            <w:tcW w:w="2133" w:type="dxa"/>
            <w:tcBorders/>
            <w:vAlign w:val="center"/>
          </w:tcPr>
          <w:p>
            <w:pPr>
              <w:pStyle w:val="TableContents"/>
              <w:bidi w:val="0"/>
              <w:spacing w:before="0" w:after="283"/>
              <w:jc w:val="start"/>
              <w:rPr/>
            </w:pPr>
            <w:r>
              <w:rPr/>
              <w:t xml:space="preserve">#Freely Rotating Bonds: </w:t>
            </w:r>
          </w:p>
        </w:tc>
        <w:tc>
          <w:tcPr>
            <w:tcW w:w="2207" w:type="dxa"/>
            <w:tcBorders/>
            <w:vAlign w:val="center"/>
          </w:tcPr>
          <w:p>
            <w:pPr>
              <w:pStyle w:val="TableContents"/>
              <w:bidi w:val="0"/>
              <w:spacing w:before="0" w:after="283"/>
              <w:jc w:val="start"/>
              <w:rPr/>
            </w:pPr>
            <w:r>
              <w:rPr/>
              <w:t xml:space="preserve">5 </w:t>
            </w:r>
          </w:p>
        </w:tc>
      </w:tr>
      <w:tr>
        <w:trPr/>
        <w:tc>
          <w:tcPr>
            <w:tcW w:w="2133" w:type="dxa"/>
            <w:tcBorders/>
            <w:vAlign w:val="center"/>
          </w:tcPr>
          <w:p>
            <w:pPr>
              <w:pStyle w:val="TableContents"/>
              <w:bidi w:val="0"/>
              <w:spacing w:before="0" w:after="283"/>
              <w:jc w:val="start"/>
              <w:rPr/>
            </w:pPr>
            <w:r>
              <w:rPr/>
              <w:t xml:space="preserve">#Rule of 5 Violations: </w:t>
            </w:r>
          </w:p>
        </w:tc>
        <w:tc>
          <w:tcPr>
            <w:tcW w:w="2207"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2220"/>
        <w:gridCol w:w="2120"/>
      </w:tblGrid>
      <w:tr>
        <w:trPr/>
        <w:tc>
          <w:tcPr>
            <w:tcW w:w="2220" w:type="dxa"/>
            <w:tcBorders/>
            <w:vAlign w:val="center"/>
          </w:tcPr>
          <w:p>
            <w:pPr>
              <w:pStyle w:val="TableContents"/>
              <w:bidi w:val="0"/>
              <w:spacing w:before="0" w:after="283"/>
              <w:jc w:val="start"/>
              <w:rPr/>
            </w:pPr>
            <w:r>
              <w:rPr/>
              <w:t xml:space="preserve">ACD/LogP: </w:t>
            </w:r>
          </w:p>
        </w:tc>
        <w:tc>
          <w:tcPr>
            <w:tcW w:w="2120" w:type="dxa"/>
            <w:tcBorders/>
            <w:vAlign w:val="center"/>
          </w:tcPr>
          <w:p>
            <w:pPr>
              <w:pStyle w:val="TableContents"/>
              <w:bidi w:val="0"/>
              <w:spacing w:before="0" w:after="283"/>
              <w:jc w:val="start"/>
              <w:rPr/>
            </w:pPr>
            <w:r>
              <w:rPr/>
              <w:t xml:space="preserve">0. 72 </w:t>
            </w:r>
          </w:p>
        </w:tc>
      </w:tr>
      <w:tr>
        <w:trPr/>
        <w:tc>
          <w:tcPr>
            <w:tcW w:w="2220" w:type="dxa"/>
            <w:tcBorders/>
            <w:vAlign w:val="center"/>
          </w:tcPr>
          <w:p>
            <w:pPr>
              <w:pStyle w:val="TableContents"/>
              <w:bidi w:val="0"/>
              <w:spacing w:before="0" w:after="283"/>
              <w:jc w:val="start"/>
              <w:rPr/>
            </w:pPr>
            <w:r>
              <w:rPr/>
              <w:t xml:space="preserve">ACD/LogD (pH 5. 5): </w:t>
            </w:r>
          </w:p>
        </w:tc>
        <w:tc>
          <w:tcPr>
            <w:tcW w:w="2120" w:type="dxa"/>
            <w:tcBorders/>
            <w:vAlign w:val="center"/>
          </w:tcPr>
          <w:p>
            <w:pPr>
              <w:pStyle w:val="TableContents"/>
              <w:bidi w:val="0"/>
              <w:spacing w:before="0" w:after="283"/>
              <w:jc w:val="start"/>
              <w:rPr/>
            </w:pPr>
            <w:r>
              <w:rPr/>
              <w:t xml:space="preserve">0. 93 </w:t>
            </w:r>
          </w:p>
        </w:tc>
      </w:tr>
      <w:tr>
        <w:trPr/>
        <w:tc>
          <w:tcPr>
            <w:tcW w:w="2220" w:type="dxa"/>
            <w:tcBorders/>
            <w:vAlign w:val="center"/>
          </w:tcPr>
          <w:p>
            <w:pPr>
              <w:pStyle w:val="TableContents"/>
              <w:bidi w:val="0"/>
              <w:spacing w:before="0" w:after="283"/>
              <w:jc w:val="start"/>
              <w:rPr/>
            </w:pPr>
            <w:r>
              <w:rPr/>
              <w:t xml:space="preserve">ACD/BCF (pH 5. 5): </w:t>
            </w:r>
          </w:p>
        </w:tc>
        <w:tc>
          <w:tcPr>
            <w:tcW w:w="2120" w:type="dxa"/>
            <w:tcBorders/>
            <w:vAlign w:val="center"/>
          </w:tcPr>
          <w:p>
            <w:pPr>
              <w:pStyle w:val="TableContents"/>
              <w:bidi w:val="0"/>
              <w:spacing w:before="0" w:after="283"/>
              <w:jc w:val="start"/>
              <w:rPr/>
            </w:pPr>
            <w:r>
              <w:rPr/>
              <w:t xml:space="preserve">2. 97 </w:t>
            </w:r>
          </w:p>
        </w:tc>
      </w:tr>
      <w:tr>
        <w:trPr/>
        <w:tc>
          <w:tcPr>
            <w:tcW w:w="2220" w:type="dxa"/>
            <w:tcBorders/>
            <w:vAlign w:val="center"/>
          </w:tcPr>
          <w:p>
            <w:pPr>
              <w:pStyle w:val="TableContents"/>
              <w:bidi w:val="0"/>
              <w:spacing w:before="0" w:after="283"/>
              <w:jc w:val="start"/>
              <w:rPr/>
            </w:pPr>
            <w:r>
              <w:rPr/>
              <w:t xml:space="preserve">ACD/KOC (pH 5. 5): </w:t>
            </w:r>
          </w:p>
        </w:tc>
        <w:tc>
          <w:tcPr>
            <w:tcW w:w="2120" w:type="dxa"/>
            <w:tcBorders/>
            <w:vAlign w:val="center"/>
          </w:tcPr>
          <w:p>
            <w:pPr>
              <w:pStyle w:val="TableContents"/>
              <w:bidi w:val="0"/>
              <w:spacing w:before="0" w:after="283"/>
              <w:jc w:val="start"/>
              <w:rPr/>
            </w:pPr>
            <w:r>
              <w:rPr/>
              <w:t xml:space="preserve">75. 69 </w:t>
            </w:r>
          </w:p>
        </w:tc>
      </w:tr>
      <w:tr>
        <w:trPr/>
        <w:tc>
          <w:tcPr>
            <w:tcW w:w="2220" w:type="dxa"/>
            <w:tcBorders/>
            <w:vAlign w:val="center"/>
          </w:tcPr>
          <w:p>
            <w:pPr>
              <w:pStyle w:val="TableContents"/>
              <w:bidi w:val="0"/>
              <w:spacing w:before="0" w:after="283"/>
              <w:jc w:val="start"/>
              <w:rPr/>
            </w:pPr>
            <w:r>
              <w:rPr/>
              <w:t xml:space="preserve">ACD/LogD (pH 7. 4): </w:t>
            </w:r>
          </w:p>
        </w:tc>
        <w:tc>
          <w:tcPr>
            <w:tcW w:w="2120" w:type="dxa"/>
            <w:tcBorders/>
            <w:vAlign w:val="center"/>
          </w:tcPr>
          <w:p>
            <w:pPr>
              <w:pStyle w:val="TableContents"/>
              <w:bidi w:val="0"/>
              <w:spacing w:before="0" w:after="283"/>
              <w:jc w:val="start"/>
              <w:rPr/>
            </w:pPr>
            <w:r>
              <w:rPr/>
              <w:t xml:space="preserve">0. 93 </w:t>
            </w:r>
          </w:p>
        </w:tc>
      </w:tr>
      <w:tr>
        <w:trPr/>
        <w:tc>
          <w:tcPr>
            <w:tcW w:w="2220" w:type="dxa"/>
            <w:tcBorders/>
            <w:vAlign w:val="center"/>
          </w:tcPr>
          <w:p>
            <w:pPr>
              <w:pStyle w:val="TableContents"/>
              <w:bidi w:val="0"/>
              <w:spacing w:before="0" w:after="283"/>
              <w:jc w:val="start"/>
              <w:rPr/>
            </w:pPr>
            <w:r>
              <w:rPr/>
              <w:t xml:space="preserve">ACD/BCF (pH 7. 4): </w:t>
            </w:r>
          </w:p>
        </w:tc>
        <w:tc>
          <w:tcPr>
            <w:tcW w:w="2120" w:type="dxa"/>
            <w:tcBorders/>
            <w:vAlign w:val="center"/>
          </w:tcPr>
          <w:p>
            <w:pPr>
              <w:pStyle w:val="TableContents"/>
              <w:bidi w:val="0"/>
              <w:spacing w:before="0" w:after="283"/>
              <w:jc w:val="start"/>
              <w:rPr/>
            </w:pPr>
            <w:r>
              <w:rPr/>
              <w:t xml:space="preserve">2. 99 </w:t>
            </w:r>
          </w:p>
        </w:tc>
      </w:tr>
      <w:tr>
        <w:trPr/>
        <w:tc>
          <w:tcPr>
            <w:tcW w:w="2220" w:type="dxa"/>
            <w:tcBorders/>
            <w:vAlign w:val="center"/>
          </w:tcPr>
          <w:p>
            <w:pPr>
              <w:pStyle w:val="TableContents"/>
              <w:bidi w:val="0"/>
              <w:spacing w:before="0" w:after="283"/>
              <w:jc w:val="start"/>
              <w:rPr/>
            </w:pPr>
            <w:r>
              <w:rPr/>
              <w:t xml:space="preserve">ACD/KOC (pH 7. 4): </w:t>
            </w:r>
          </w:p>
        </w:tc>
        <w:tc>
          <w:tcPr>
            <w:tcW w:w="2120" w:type="dxa"/>
            <w:tcBorders/>
            <w:vAlign w:val="center"/>
          </w:tcPr>
          <w:p>
            <w:pPr>
              <w:pStyle w:val="TableContents"/>
              <w:bidi w:val="0"/>
              <w:spacing w:before="0" w:after="283"/>
              <w:jc w:val="start"/>
              <w:rPr/>
            </w:pPr>
            <w:r>
              <w:rPr/>
              <w:t xml:space="preserve">76. 16 </w:t>
            </w:r>
          </w:p>
        </w:tc>
      </w:tr>
      <w:tr>
        <w:trPr/>
        <w:tc>
          <w:tcPr>
            <w:tcW w:w="2220" w:type="dxa"/>
            <w:tcBorders/>
            <w:vAlign w:val="center"/>
          </w:tcPr>
          <w:p>
            <w:pPr>
              <w:pStyle w:val="TableContents"/>
              <w:bidi w:val="0"/>
              <w:spacing w:before="0" w:after="283"/>
              <w:jc w:val="start"/>
              <w:rPr/>
            </w:pPr>
            <w:r>
              <w:rPr/>
              <w:t xml:space="preserve">Polar Surface Area: </w:t>
            </w:r>
          </w:p>
        </w:tc>
        <w:tc>
          <w:tcPr>
            <w:tcW w:w="2120" w:type="dxa"/>
            <w:tcBorders/>
            <w:vAlign w:val="center"/>
          </w:tcPr>
          <w:p>
            <w:pPr>
              <w:pStyle w:val="TableContents"/>
              <w:bidi w:val="0"/>
              <w:spacing w:before="0" w:after="283"/>
              <w:jc w:val="start"/>
              <w:rPr/>
            </w:pPr>
            <w:r>
              <w:rPr/>
              <w:t xml:space="preserve">97 Å </w:t>
            </w:r>
            <w:r>
              <w:rPr>
                <w:position w:val="8"/>
                <w:sz w:val="19"/>
              </w:rPr>
              <w:t xml:space="preserve">2 </w:t>
            </w:r>
          </w:p>
        </w:tc>
      </w:tr>
      <w:tr>
        <w:trPr/>
        <w:tc>
          <w:tcPr>
            <w:tcW w:w="2220" w:type="dxa"/>
            <w:tcBorders/>
            <w:vAlign w:val="center"/>
          </w:tcPr>
          <w:p>
            <w:pPr>
              <w:pStyle w:val="TableContents"/>
              <w:bidi w:val="0"/>
              <w:spacing w:before="0" w:after="283"/>
              <w:jc w:val="start"/>
              <w:rPr/>
            </w:pPr>
            <w:r>
              <w:rPr/>
              <w:t xml:space="preserve">Polarizability: </w:t>
            </w:r>
          </w:p>
        </w:tc>
        <w:tc>
          <w:tcPr>
            <w:tcW w:w="2120" w:type="dxa"/>
            <w:tcBorders/>
            <w:vAlign w:val="center"/>
          </w:tcPr>
          <w:p>
            <w:pPr>
              <w:pStyle w:val="TableContents"/>
              <w:bidi w:val="0"/>
              <w:spacing w:before="0" w:after="283"/>
              <w:jc w:val="start"/>
              <w:rPr/>
            </w:pPr>
            <w:r>
              <w:rPr/>
              <w:t xml:space="preserve">20. 0±0. 5 10 </w:t>
            </w:r>
            <w:r>
              <w:rPr>
                <w:position w:val="8"/>
                <w:sz w:val="19"/>
              </w:rPr>
              <w:t xml:space="preserve">-24 </w:t>
            </w:r>
            <w:r>
              <w:rPr/>
              <w:t xml:space="preserve">cm </w:t>
            </w:r>
            <w:r>
              <w:rPr>
                <w:position w:val="8"/>
                <w:sz w:val="19"/>
              </w:rPr>
              <w:t xml:space="preserve">3 </w:t>
            </w:r>
          </w:p>
        </w:tc>
      </w:tr>
      <w:tr>
        <w:trPr/>
        <w:tc>
          <w:tcPr>
            <w:tcW w:w="2220" w:type="dxa"/>
            <w:tcBorders/>
            <w:vAlign w:val="center"/>
          </w:tcPr>
          <w:p>
            <w:pPr>
              <w:pStyle w:val="TableContents"/>
              <w:bidi w:val="0"/>
              <w:spacing w:before="0" w:after="283"/>
              <w:jc w:val="start"/>
              <w:rPr/>
            </w:pPr>
            <w:r>
              <w:rPr/>
              <w:t xml:space="preserve">Surface Tension: </w:t>
            </w:r>
          </w:p>
        </w:tc>
        <w:tc>
          <w:tcPr>
            <w:tcW w:w="2120" w:type="dxa"/>
            <w:tcBorders/>
            <w:vAlign w:val="center"/>
          </w:tcPr>
          <w:p>
            <w:pPr>
              <w:pStyle w:val="TableContents"/>
              <w:bidi w:val="0"/>
              <w:spacing w:before="0" w:after="283"/>
              <w:jc w:val="start"/>
              <w:rPr/>
            </w:pPr>
            <w:r>
              <w:rPr/>
              <w:t xml:space="preserve">55. 3±3. 0 dyne/cm </w:t>
            </w:r>
          </w:p>
        </w:tc>
      </w:tr>
      <w:tr>
        <w:trPr/>
        <w:tc>
          <w:tcPr>
            <w:tcW w:w="2220" w:type="dxa"/>
            <w:tcBorders/>
            <w:vAlign w:val="center"/>
          </w:tcPr>
          <w:p>
            <w:pPr>
              <w:pStyle w:val="TableContents"/>
              <w:bidi w:val="0"/>
              <w:spacing w:before="0" w:after="283"/>
              <w:jc w:val="start"/>
              <w:rPr/>
            </w:pPr>
            <w:r>
              <w:rPr/>
              <w:t xml:space="preserve">Molar Volume: </w:t>
            </w:r>
          </w:p>
        </w:tc>
        <w:tc>
          <w:tcPr>
            <w:tcW w:w="2120" w:type="dxa"/>
            <w:tcBorders/>
            <w:vAlign w:val="center"/>
          </w:tcPr>
          <w:p>
            <w:pPr>
              <w:pStyle w:val="TableContents"/>
              <w:bidi w:val="0"/>
              <w:spacing w:before="0" w:after="283"/>
              <w:jc w:val="start"/>
              <w:rPr/>
            </w:pPr>
            <w:r>
              <w:rPr/>
              <w:t xml:space="preserve">158. 7±3.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0. 43Boiling Pt, Melting Pt, Vapor Pressure Estimations (MPBPWIN v1. 42): Boiling Pt (deg C): 376. 76 (Adapted Stein &amp; Brown method)Melting Pt (deg C): 143. 02 (Mean or Weighted MP)VP(mm Hg, 25 deg C): 6. 76E-006 (Modified Grain method)MP (exp database): 92. 5 deg CSubcooled liquid VP: 3. 03E-005 mm Hg (25 deg C, Mod-Grain method)Water Solubility Estimate from Log Kow (WSKOW v1. 41): Water Solubility at 25 deg C (mg/L): 1. 643e+004log Kow used: 0. 43 (estimated)no-melting pt equation usedWater Sol Estimate from Fragments: Wat Sol (v1. 01 est) = 3. 9664e+005 mg/LECOSAR Class Program (ECOSAR v0. 99h): Class(es) found: Neutral OrganicsHenrys Law Constant (25 deg C) [HENRYWIN v3. 10]: Bond Method : 2. 28E-014 atm-m3/moleGroup Method: IncompleteHenrys LC [VP/WSol estimate using EPI values]: 1. 143E-010 atm-m3/moleLog Octanol-Air Partition Coefficient (25 deg C) [KOAWIN v1. 10]: Log Kow used: 0. 43 (KowWin est)Log Kaw used: -12. 031 (HenryWin est)Log Koa (KOAWIN v1. 10 estimate): 12. 461Log Koa (experimental database): NoneProbability of Rapid Biodegradation (BIOWIN v4. 10): Biowin1 (Linear Model) : 0. 7026Biowin2 (Non-Linear Model) : 0. 7433Expert Survey Biodegradation Results: Biowin3 (Ultimate Survey Model): 2. 4641 (weeks-months)Biowin4 (Primary Survey Model) : 3. 7297 (days-weeks )MITI Biodegradation Probability: Biowin5 (MITI Linear Model) : 0. 3087Biowin6 (MITI Non-Linear Model): 0. 1412Anaerobic Biodegradation Probability: Biowin7 (Anaerobic Linear Model): 0. 5795Ready Biodegradability Prediction: NOHydrocarbon Biodegradation (BioHCwin v1. 01): Structure incompatible with current estimation method! Sorption to aerosols (25 Dec C)[AEROWIN v1. 00]: Vapor pressure (liquid/subcooled): 0. 00404 Pa (3. 03E-005 mm Hg)Log Koa (Koawin est ): 12. 461Kp (particle/gas partition coef. (m3/ug)): Mackay model : 0. 000743 Octanol/air (Koa) model: 0. 71 Fraction sorbed to airborne particulates (phi): Junge-Pankow model : 0. 0261 Mackay model : 0. 0561 Octanol/air (Koa) model: 0. 983 Atmospheric Oxidation (25 deg C) [AopWin v1. 92]: Hydroxyl Radicals Reaction: OVERALL OH Rate Constant = 1. 5091 E-12 cm3/molecule-secHalf-Life = 7. 088 Days (12-hr day; 1. 5E6 OH/cm3)Half-Life = 85. 051 HrsOzone Reaction: No Ozone Reaction EstimationFraction sorbed to airborne particulates (phi): 0. 0411 (Junge, Mackay)Note: the sorbed fraction may be resistant to atmospheric oxidationSoil Adsorption Coefficient (PCKOCWIN v1. 66): Koc : 254. 6Log Koc: 2. 406 Aqueous Base/Acid-Catalyzed Hydrolysis (25 deg C) [HYDROWIN v1. 67]: Rate constants can NOT be estimated for this structure! Bioaccumulation Estimates from Log Kow (BCFWIN v2. 17): Log BCF from regression-based method = 0. 500 (BCF = 3. 162)log Kow used: 0. 43 (estimated)Volatilization from Water: Henry LC: 2. 28E-014 atm-m3/mole (estimated by Bond SAR Method)Half-Life from Model River: 3. 732E+010 hours (1. 555E+009 days)Half-Life from Model Lake : 4. 071E+011 hours (1. 696E+010 days)Removal In Wastewater Treatment: Total removal: 1. 86 percentTotal biodegradation: 0. 09 percentTotal sludge adsorption: 1. 77 percentTotal to Air: 0. 00 percent(using 10000 hr Bio P, A, S)Level III Fugacity Model: Mass Amount Half-Life Emissions(percent) (hr) (kg/hr)Air 3. 15e-007 170 1000 Water 44. 7 900 1000 Soil 55. 2 1. 8e+003 1000 Sediment 0. 088 8. 1e+003 0 Persistence Time: 996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p>
      <w:pPr>
        <w:pStyle w:val="TextBody"/>
        <w:numPr>
          <w:ilvl w:val="0"/>
          <w:numId w:val="4"/>
        </w:numPr>
        <w:tabs>
          <w:tab w:val="clear" w:pos="1134"/>
          <w:tab w:val="left" w:pos="707" w:leader="none"/>
        </w:tabs>
        <w:bidi w:val="0"/>
        <w:spacing w:before="0" w:after="0"/>
        <w:ind w:start="707" w:hanging="283"/>
        <w:jc w:val="start"/>
        <w:rPr/>
      </w:pPr>
      <w:r>
        <w:rPr/>
        <w:t xml:space="preserve">1-Click Docking </w:t>
      </w:r>
    </w:p>
    <w:p>
      <w:pPr>
        <w:pStyle w:val="TextBody"/>
        <w:numPr>
          <w:ilvl w:val="0"/>
          <w:numId w:val="4"/>
        </w:numPr>
        <w:tabs>
          <w:tab w:val="clear" w:pos="1134"/>
          <w:tab w:val="left" w:pos="707" w:leader="none"/>
        </w:tabs>
        <w:bidi w:val="0"/>
        <w:spacing w:before="0" w:after="283"/>
        <w:ind w:start="707" w:hanging="283"/>
        <w:jc w:val="start"/>
        <w:rPr/>
      </w:pPr>
      <w:r>
        <w:rPr/>
        <w:t xml:space="preserve">1-Click Scaffold 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https://assignbuster.com/nicorandil-c8h9n3o4-structure/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Nicorandil c8h9n3o4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orandil-c8h9n3o4-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Nicorandil c8h9n3o4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Nicorandil c8h9n3o4 structure</dc:title>
  <dc:subject>Others;</dc:subject>
  <dc:creator>AssignBuster</dc:creator>
  <cp:keywords/>
  <dc:description>3 cm 3 Polarizability 20.0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