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"https://assignbuster.com/corrigendum-interleukin-7-induces-osteoclast-formation-via-stat5-independent-of-receptor-activator-of-nf-kappab-ligand/"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interleukin-7 induces osteoclast formation via stat5, independent of...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Interleukin-7 Induces Osteoclast Formation via STAT5, Independent of Receptor Activator of NF-kappaB Ligand </w:t>
          <w:br/>
        </w:r>
        <w:r>
          <w:rPr>
            <w:rStyle w:val="a8"/>
            <w:i/>
          </w:rPr>
          <w:t xml:space="preserve">by Kim JH, Sim JH, Lee S, Seol MA, Ye SK, Shin HM, et al. Front Immunol (2017) 8: 1376. doi: 10. 3389/fimmu. 2017. 01376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 mistake in the legend forFigure 2as published. Here, the expression “ SFMCs from healthy individuals” should be corrected to “ SFMCs”. The correct legend appears below. The authors apologize for this error and state that this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2| Interleukin (IL)-7 induced osteoclast formation in synovial fluid mononuclear cells (SFMCs) from joint fluid of rheumatoid arthritis (RA) patients. SFMCs were cultured with M-CSF (20 ng/mL), RANKL (50 ng/mL), or IL-7 (2 ng/mL) for 10 days by replacing the medium at 3-day intervals with fresh cytokines as described in Figure 1 (left panel). To determine the effect of pretreatment with IL-7, SFMCs were cultured with IL-7 (2 ng/mL) for 3 days, then treated with M-CSF (20 ng/mL), RANKL (50 ng/mL), or IL-7 (2 ng/mL) for 7 days, replacing the medium as described above (right panel). TRAP staining and enumeration were performed as described in Figure 1. Representative images(A)and quantification(B)of TRAP </w:t>
      </w:r>
      <w:r>
        <w:rPr>
          <w:position w:val="8"/>
          <w:sz w:val="19"/>
        </w:rPr>
        <w:t xml:space="preserve">+ </w:t>
      </w:r>
      <w:r>
        <w:rPr/>
        <w:t xml:space="preserve">cells at days 10 and 15 are shown. Results are representative of five independent experiments with five different donors. Bars represent the mean and </w:t>
      </w:r>
      <w:r>
        <w:rPr>
          <w:i/>
        </w:rPr>
        <w:t xml:space="preserve">p </w:t>
      </w:r>
      <w:r>
        <w:rPr/>
        <w:t xml:space="preserve">values were obtained using the unpaired two-tailed Student’s </w:t>
      </w:r>
      <w:r>
        <w:rPr>
          <w:i/>
        </w:rPr>
        <w:t xml:space="preserve">t </w:t>
      </w:r>
      <w:r>
        <w:rPr/>
        <w:t xml:space="preserve">-test.(C)Peripheral blood mononuclear cells were cultured on top of dentine disks in 96-well culture plates in the above condition for 30 days. Then, surface roughness was analyzed as described in Figure 1. Results illustrate three independent experiments ( </w:t>
      </w:r>
      <w:r>
        <w:rPr>
          <w:i/>
        </w:rPr>
        <w:t xml:space="preserve">n </w:t>
      </w:r>
      <w:r>
        <w:rPr/>
        <w:t xml:space="preserve">= 3). Roughness parameter and the number of pits were analyzed as described in Figure 1. The graph represents the mean ± SEM and </w:t>
      </w:r>
      <w:r>
        <w:rPr>
          <w:i/>
        </w:rPr>
        <w:t xml:space="preserve">p </w:t>
      </w:r>
      <w:r>
        <w:rPr/>
        <w:t xml:space="preserve">values were obtained using the unpaired two-tailed Student’s </w:t>
      </w:r>
      <w:r>
        <w:rPr>
          <w:i/>
        </w:rPr>
        <w:t xml:space="preserve">t </w:t>
      </w:r>
      <w:r>
        <w:rPr/>
        <w:t xml:space="preserve">-test.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was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https://assignbuster.com/corrigendum-interleukin-7-induces-osteoclast-formation-via-stat5-independent-of-receptor-activator-of-nf-kappab-ligand/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interleukin-7 induces osteo...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frontiersin.org/article/10.3389/fimmu.2017.01376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interleukin-7 induces osteoclast formation via stat5, independent of...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interleukin-7 induces osteoclast formation via stat5, independent of...</dc:title>
  <dc:subject>Health &amp; Medicine;</dc:subject>
  <dc:creator>AssignBuster</dc:creator>
  <cp:keywords/>
  <dc:description>Roughness parameter and the number of pits were analyzed as described in Figure 1.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