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"https://assignbuster.com/swot-analysis-template-for-efficient-business-planning/"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template for efficient business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SWOT Analysis? SWOT Analysis is a strategic business planning tool that can be used for analyzing different business situations faced by a company. This analysis allows businesses to assess their current positions in the market. It also extends to the resources and efforts required to change, sustain or strengthen that position. Four key aspects of a situation are analyzed, including strengths, weaknesses, opportunities and threats, to provide a clear picture of the situation. </w:t>
      </w:r>
    </w:p>
    <w:p>
      <w:pPr>
        <w:pStyle w:val="TextBody"/>
        <w:bidi w:val="0"/>
        <w:spacing w:before="0" w:after="283"/>
        <w:jc w:val="start"/>
        <w:rPr/>
      </w:pPr>
      <w:r>
        <w:rPr/>
        <w:t xml:space="preserve">SWOT Analysis can be used for various purposes including: </w:t>
      </w:r>
    </w:p>
    <w:p>
      <w:pPr>
        <w:pStyle w:val="TextBody"/>
        <w:numPr>
          <w:ilvl w:val="0"/>
          <w:numId w:val="1"/>
        </w:numPr>
        <w:tabs>
          <w:tab w:val="clear" w:pos="1134"/>
          <w:tab w:val="left" w:pos="707" w:leader="none"/>
        </w:tabs>
        <w:bidi w:val="0"/>
        <w:spacing w:before="0" w:after="0"/>
        <w:ind w:start="707" w:hanging="283"/>
        <w:jc w:val="start"/>
        <w:rPr/>
      </w:pPr>
      <w:r>
        <w:rPr/>
        <w:t xml:space="preserve">Marketing Analysis </w:t>
      </w:r>
    </w:p>
    <w:p>
      <w:pPr>
        <w:pStyle w:val="TextBody"/>
        <w:numPr>
          <w:ilvl w:val="0"/>
          <w:numId w:val="1"/>
        </w:numPr>
        <w:tabs>
          <w:tab w:val="clear" w:pos="1134"/>
          <w:tab w:val="left" w:pos="707" w:leader="none"/>
        </w:tabs>
        <w:bidi w:val="0"/>
        <w:spacing w:before="0" w:after="0"/>
        <w:ind w:start="707" w:hanging="283"/>
        <w:jc w:val="start"/>
        <w:rPr/>
      </w:pPr>
      <w:r>
        <w:rPr/>
        <w:t xml:space="preserve">Business Development </w:t>
      </w:r>
    </w:p>
    <w:p>
      <w:pPr>
        <w:pStyle w:val="TextBody"/>
        <w:numPr>
          <w:ilvl w:val="0"/>
          <w:numId w:val="1"/>
        </w:numPr>
        <w:tabs>
          <w:tab w:val="clear" w:pos="1134"/>
          <w:tab w:val="left" w:pos="707" w:leader="none"/>
        </w:tabs>
        <w:bidi w:val="0"/>
        <w:spacing w:before="0" w:after="0"/>
        <w:ind w:start="707" w:hanging="283"/>
        <w:jc w:val="start"/>
        <w:rPr/>
      </w:pPr>
      <w:r>
        <w:rPr/>
        <w:t xml:space="preserve">Strategic Planning </w:t>
      </w:r>
    </w:p>
    <w:p>
      <w:pPr>
        <w:pStyle w:val="TextBody"/>
        <w:numPr>
          <w:ilvl w:val="0"/>
          <w:numId w:val="1"/>
        </w:numPr>
        <w:tabs>
          <w:tab w:val="clear" w:pos="1134"/>
          <w:tab w:val="left" w:pos="707" w:leader="none"/>
        </w:tabs>
        <w:bidi w:val="0"/>
        <w:spacing w:before="0" w:after="0"/>
        <w:ind w:start="707" w:hanging="283"/>
        <w:jc w:val="start"/>
        <w:rPr/>
      </w:pPr>
      <w:r>
        <w:rPr/>
        <w:t xml:space="preserve">Research Report </w:t>
      </w:r>
    </w:p>
    <w:p>
      <w:pPr>
        <w:pStyle w:val="TextBody"/>
        <w:numPr>
          <w:ilvl w:val="0"/>
          <w:numId w:val="1"/>
        </w:numPr>
        <w:tabs>
          <w:tab w:val="clear" w:pos="1134"/>
          <w:tab w:val="left" w:pos="707" w:leader="none"/>
        </w:tabs>
        <w:bidi w:val="0"/>
        <w:spacing w:before="0" w:after="0"/>
        <w:ind w:start="707" w:hanging="283"/>
        <w:jc w:val="start"/>
        <w:rPr/>
      </w:pPr>
      <w:r>
        <w:rPr/>
        <w:t xml:space="preserve">Business Planning </w:t>
      </w:r>
    </w:p>
    <w:p>
      <w:pPr>
        <w:pStyle w:val="TextBody"/>
        <w:numPr>
          <w:ilvl w:val="0"/>
          <w:numId w:val="1"/>
        </w:numPr>
        <w:tabs>
          <w:tab w:val="clear" w:pos="1134"/>
          <w:tab w:val="left" w:pos="707" w:leader="none"/>
        </w:tabs>
        <w:bidi w:val="0"/>
        <w:ind w:start="707" w:hanging="283"/>
        <w:jc w:val="start"/>
        <w:rPr/>
      </w:pPr>
      <w:r>
        <w:rPr/>
        <w:t xml:space="preserve">Competitor Evaluation </w:t>
      </w:r>
    </w:p>
    <w:p>
      <w:pPr>
        <w:pStyle w:val="TextBody"/>
        <w:bidi w:val="0"/>
        <w:jc w:val="start"/>
        <w:rPr/>
      </w:pPr>
      <w:r>
        <w:rPr/>
        <w:t xml:space="preserve">To help you better understand how this analytical framework is used, here is a SWOT Analysis template: </w:t>
      </w:r>
    </w:p>
    <w:tbl>
      <w:tblPr>
        <w:tblW w:w="11339" w:type="dxa"/>
        <w:jc w:val="start"/>
        <w:tblInd w:w="0" w:type="dxa"/>
        <w:tblLayout w:type="fixed"/>
        <w:tblCellMar>
          <w:top w:w="28" w:type="dxa"/>
          <w:start w:w="28" w:type="dxa"/>
          <w:bottom w:w="28" w:type="dxa"/>
          <w:end w:w="28" w:type="dxa"/>
        </w:tblCellMar>
      </w:tblPr>
      <w:tblGrid>
        <w:gridCol w:w="346"/>
        <w:gridCol w:w="5947"/>
        <w:gridCol w:w="5046"/>
      </w:tblGrid>
      <w:tr>
        <w:trPr/>
        <w:tc>
          <w:tcPr>
            <w:tcW w:w="346" w:type="dxa"/>
            <w:tcBorders/>
            <w:vAlign w:val="center"/>
          </w:tcPr>
          <w:p>
            <w:pPr>
              <w:pStyle w:val="TableContents"/>
              <w:bidi w:val="0"/>
              <w:spacing w:before="0" w:after="283"/>
              <w:jc w:val="start"/>
              <w:rPr>
                <w:sz w:val="4"/>
                <w:szCs w:val="4"/>
              </w:rPr>
            </w:pPr>
            <w:r>
              <w:rPr>
                <w:sz w:val="4"/>
                <w:szCs w:val="4"/>
              </w:rPr>
            </w:r>
          </w:p>
        </w:tc>
        <w:tc>
          <w:tcPr>
            <w:tcW w:w="5947" w:type="dxa"/>
            <w:tcBorders/>
            <w:vAlign w:val="center"/>
          </w:tcPr>
          <w:p>
            <w:pPr>
              <w:pStyle w:val="TableContents"/>
              <w:bidi w:val="0"/>
              <w:spacing w:before="0" w:after="283"/>
              <w:jc w:val="start"/>
              <w:rPr/>
            </w:pPr>
            <w:r>
              <w:rPr/>
              <w:t xml:space="preserve">Internal </w:t>
            </w:r>
          </w:p>
        </w:tc>
        <w:tc>
          <w:tcPr>
            <w:tcW w:w="5046" w:type="dxa"/>
            <w:tcBorders/>
            <w:vAlign w:val="center"/>
          </w:tcPr>
          <w:p>
            <w:pPr>
              <w:pStyle w:val="TableContents"/>
              <w:bidi w:val="0"/>
              <w:spacing w:before="0" w:after="283"/>
              <w:jc w:val="start"/>
              <w:rPr/>
            </w:pPr>
            <w:r>
              <w:rPr/>
              <w:t xml:space="preserve">External </w:t>
            </w:r>
          </w:p>
        </w:tc>
      </w:tr>
      <w:tr>
        <w:trPr/>
        <w:tc>
          <w:tcPr>
            <w:tcW w:w="346" w:type="dxa"/>
            <w:tcBorders/>
            <w:vAlign w:val="center"/>
          </w:tcPr>
          <w:p>
            <w:pPr>
              <w:pStyle w:val="TableContents"/>
              <w:bidi w:val="0"/>
              <w:jc w:val="start"/>
              <w:rPr/>
            </w:pPr>
            <w:r>
              <w:rPr/>
              <w:t xml:space="preserve">F </w:t>
            </w:r>
          </w:p>
          <w:p>
            <w:pPr>
              <w:pStyle w:val="TableContents"/>
              <w:bidi w:val="0"/>
              <w:jc w:val="start"/>
              <w:rPr/>
            </w:pPr>
            <w:r>
              <w:rPr/>
              <w:t xml:space="preserve">a </w:t>
            </w:r>
          </w:p>
          <w:p>
            <w:pPr>
              <w:pStyle w:val="TableContents"/>
              <w:bidi w:val="0"/>
              <w:jc w:val="start"/>
              <w:rPr/>
            </w:pPr>
            <w:r>
              <w:rPr/>
              <w:t xml:space="preserve">v </w:t>
            </w:r>
          </w:p>
          <w:p>
            <w:pPr>
              <w:pStyle w:val="TableContents"/>
              <w:bidi w:val="0"/>
              <w:jc w:val="start"/>
              <w:rPr/>
            </w:pPr>
            <w:r>
              <w:rPr/>
              <w:t xml:space="preserve">o </w:t>
            </w:r>
          </w:p>
          <w:p>
            <w:pPr>
              <w:pStyle w:val="TableContents"/>
              <w:bidi w:val="0"/>
              <w:jc w:val="start"/>
              <w:rPr/>
            </w:pPr>
            <w:r>
              <w:rPr/>
              <w:t xml:space="preserve">r </w:t>
            </w:r>
          </w:p>
          <w:p>
            <w:pPr>
              <w:pStyle w:val="TableContents"/>
              <w:bidi w:val="0"/>
              <w:jc w:val="start"/>
              <w:rPr/>
            </w:pPr>
            <w:r>
              <w:rPr/>
              <w:t xml:space="preserve">a </w:t>
            </w:r>
          </w:p>
          <w:p>
            <w:pPr>
              <w:pStyle w:val="TableContents"/>
              <w:bidi w:val="0"/>
              <w:jc w:val="start"/>
              <w:rPr/>
            </w:pPr>
            <w:r>
              <w:rPr/>
              <w:t xml:space="preserve">b </w:t>
            </w:r>
          </w:p>
          <w:p>
            <w:pPr>
              <w:pStyle w:val="TableContents"/>
              <w:bidi w:val="0"/>
              <w:jc w:val="start"/>
              <w:rPr/>
            </w:pPr>
            <w:r>
              <w:rPr/>
              <w:t xml:space="preserve">l </w:t>
            </w:r>
          </w:p>
          <w:p>
            <w:pPr>
              <w:pStyle w:val="TableContents"/>
              <w:bidi w:val="0"/>
              <w:spacing w:before="0" w:after="283"/>
              <w:jc w:val="start"/>
              <w:rPr/>
            </w:pPr>
            <w:r>
              <w:rPr/>
              <w:t xml:space="preserve">e </w:t>
            </w:r>
          </w:p>
        </w:tc>
        <w:tc>
          <w:tcPr>
            <w:tcW w:w="5947" w:type="dxa"/>
            <w:tcBorders/>
            <w:vAlign w:val="center"/>
          </w:tcPr>
          <w:p>
            <w:pPr>
              <w:pStyle w:val="TableContents"/>
              <w:bidi w:val="0"/>
              <w:jc w:val="start"/>
              <w:rPr/>
            </w:pPr>
            <w:r>
              <w:rPr/>
              <w:t xml:space="preserve">Strengths: </w:t>
            </w:r>
          </w:p>
          <w:p>
            <w:pPr>
              <w:pStyle w:val="TableContents"/>
              <w:numPr>
                <w:ilvl w:val="0"/>
                <w:numId w:val="2"/>
              </w:numPr>
              <w:tabs>
                <w:tab w:val="clear" w:pos="1134"/>
                <w:tab w:val="left" w:pos="707" w:leader="none"/>
              </w:tabs>
              <w:bidi w:val="0"/>
              <w:spacing w:before="0" w:after="0"/>
              <w:ind w:start="707" w:hanging="283"/>
              <w:jc w:val="start"/>
              <w:rPr/>
            </w:pPr>
            <w:r>
              <w:rPr/>
              <w:t xml:space="preserve">Identify capabilities </w:t>
            </w:r>
          </w:p>
          <w:p>
            <w:pPr>
              <w:pStyle w:val="TableContents"/>
              <w:numPr>
                <w:ilvl w:val="0"/>
                <w:numId w:val="2"/>
              </w:numPr>
              <w:tabs>
                <w:tab w:val="clear" w:pos="1134"/>
                <w:tab w:val="left" w:pos="707" w:leader="none"/>
              </w:tabs>
              <w:bidi w:val="0"/>
              <w:spacing w:before="0" w:after="0"/>
              <w:ind w:start="707" w:hanging="283"/>
              <w:jc w:val="start"/>
              <w:rPr/>
            </w:pPr>
            <w:r>
              <w:rPr/>
              <w:t xml:space="preserve">Evaluate resources including assets and people </w:t>
            </w:r>
          </w:p>
          <w:p>
            <w:pPr>
              <w:pStyle w:val="TableContents"/>
              <w:numPr>
                <w:ilvl w:val="0"/>
                <w:numId w:val="2"/>
              </w:numPr>
              <w:tabs>
                <w:tab w:val="clear" w:pos="1134"/>
                <w:tab w:val="left" w:pos="707" w:leader="none"/>
              </w:tabs>
              <w:bidi w:val="0"/>
              <w:spacing w:before="0" w:after="0"/>
              <w:ind w:start="707" w:hanging="283"/>
              <w:jc w:val="start"/>
              <w:rPr/>
            </w:pPr>
            <w:r>
              <w:rPr/>
              <w:t xml:space="preserve">Analyze competitive advantage </w:t>
            </w:r>
          </w:p>
          <w:p>
            <w:pPr>
              <w:pStyle w:val="TableContents"/>
              <w:numPr>
                <w:ilvl w:val="0"/>
                <w:numId w:val="2"/>
              </w:numPr>
              <w:tabs>
                <w:tab w:val="clear" w:pos="1134"/>
                <w:tab w:val="left" w:pos="707" w:leader="none"/>
              </w:tabs>
              <w:bidi w:val="0"/>
              <w:spacing w:before="0" w:after="0"/>
              <w:ind w:start="707" w:hanging="283"/>
              <w:jc w:val="start"/>
              <w:rPr/>
            </w:pPr>
            <w:r>
              <w:rPr/>
              <w:t xml:space="preserve">Assess intangibles like data, knowledge and experience advantages </w:t>
            </w:r>
          </w:p>
          <w:p>
            <w:pPr>
              <w:pStyle w:val="TableContents"/>
              <w:numPr>
                <w:ilvl w:val="0"/>
                <w:numId w:val="2"/>
              </w:numPr>
              <w:tabs>
                <w:tab w:val="clear" w:pos="1134"/>
                <w:tab w:val="left" w:pos="707" w:leader="none"/>
              </w:tabs>
              <w:bidi w:val="0"/>
              <w:spacing w:before="0" w:after="0"/>
              <w:ind w:start="707" w:hanging="283"/>
              <w:jc w:val="start"/>
              <w:rPr/>
            </w:pPr>
            <w:r>
              <w:rPr/>
              <w:t xml:space="preserve">Evaluate financial reserves </w:t>
            </w:r>
          </w:p>
          <w:p>
            <w:pPr>
              <w:pStyle w:val="TableContents"/>
              <w:numPr>
                <w:ilvl w:val="0"/>
                <w:numId w:val="2"/>
              </w:numPr>
              <w:tabs>
                <w:tab w:val="clear" w:pos="1134"/>
                <w:tab w:val="left" w:pos="707" w:leader="none"/>
              </w:tabs>
              <w:bidi w:val="0"/>
              <w:spacing w:before="0" w:after="0"/>
              <w:ind w:start="707" w:hanging="283"/>
              <w:jc w:val="start"/>
              <w:rPr/>
            </w:pPr>
            <w:r>
              <w:rPr/>
              <w:t xml:space="preserve">Check processes or IT systems driving value </w:t>
            </w:r>
          </w:p>
          <w:p>
            <w:pPr>
              <w:pStyle w:val="TableContents"/>
              <w:numPr>
                <w:ilvl w:val="0"/>
                <w:numId w:val="2"/>
              </w:numPr>
              <w:tabs>
                <w:tab w:val="clear" w:pos="1134"/>
                <w:tab w:val="left" w:pos="707" w:leader="none"/>
              </w:tabs>
              <w:bidi w:val="0"/>
              <w:spacing w:before="0" w:after="283"/>
              <w:ind w:start="707" w:hanging="283"/>
              <w:jc w:val="start"/>
              <w:rPr/>
            </w:pPr>
            <w:r>
              <w:rPr/>
              <w:t xml:space="preserve">Assess market research abilities </w:t>
            </w:r>
          </w:p>
        </w:tc>
        <w:tc>
          <w:tcPr>
            <w:tcW w:w="5046" w:type="dxa"/>
            <w:tcBorders/>
            <w:vAlign w:val="center"/>
          </w:tcPr>
          <w:p>
            <w:pPr>
              <w:pStyle w:val="TableContents"/>
              <w:bidi w:val="0"/>
              <w:jc w:val="start"/>
              <w:rPr/>
            </w:pPr>
            <w:r>
              <w:rPr/>
              <w:t xml:space="preserve">Opportunities: </w:t>
            </w:r>
          </w:p>
          <w:p>
            <w:pPr>
              <w:pStyle w:val="TableContents"/>
              <w:numPr>
                <w:ilvl w:val="0"/>
                <w:numId w:val="2"/>
              </w:numPr>
              <w:tabs>
                <w:tab w:val="clear" w:pos="1134"/>
                <w:tab w:val="left" w:pos="707" w:leader="none"/>
              </w:tabs>
              <w:bidi w:val="0"/>
              <w:spacing w:before="0" w:after="0"/>
              <w:ind w:start="707" w:hanging="283"/>
              <w:jc w:val="start"/>
              <w:rPr/>
            </w:pPr>
            <w:r>
              <w:rPr/>
              <w:t xml:space="preserve">Development in technology and innovation </w:t>
            </w:r>
          </w:p>
          <w:p>
            <w:pPr>
              <w:pStyle w:val="TableContents"/>
              <w:numPr>
                <w:ilvl w:val="0"/>
                <w:numId w:val="2"/>
              </w:numPr>
              <w:tabs>
                <w:tab w:val="clear" w:pos="1134"/>
                <w:tab w:val="left" w:pos="707" w:leader="none"/>
              </w:tabs>
              <w:bidi w:val="0"/>
              <w:spacing w:before="0" w:after="0"/>
              <w:ind w:start="707" w:hanging="283"/>
              <w:jc w:val="start"/>
              <w:rPr/>
            </w:pPr>
            <w:r>
              <w:rPr/>
              <w:t xml:space="preserve">New or better target markets </w:t>
            </w:r>
          </w:p>
          <w:p>
            <w:pPr>
              <w:pStyle w:val="TableContents"/>
              <w:numPr>
                <w:ilvl w:val="0"/>
                <w:numId w:val="2"/>
              </w:numPr>
              <w:tabs>
                <w:tab w:val="clear" w:pos="1134"/>
                <w:tab w:val="left" w:pos="707" w:leader="none"/>
              </w:tabs>
              <w:bidi w:val="0"/>
              <w:spacing w:before="0" w:after="0"/>
              <w:ind w:start="707" w:hanging="283"/>
              <w:jc w:val="start"/>
              <w:rPr/>
            </w:pPr>
            <w:r>
              <w:rPr/>
              <w:t xml:space="preserve">New partnership and contracts, and surprises </w:t>
            </w:r>
          </w:p>
          <w:p>
            <w:pPr>
              <w:pStyle w:val="TableContents"/>
              <w:numPr>
                <w:ilvl w:val="0"/>
                <w:numId w:val="2"/>
              </w:numPr>
              <w:tabs>
                <w:tab w:val="clear" w:pos="1134"/>
                <w:tab w:val="left" w:pos="707" w:leader="none"/>
              </w:tabs>
              <w:bidi w:val="0"/>
              <w:spacing w:before="0" w:after="0"/>
              <w:ind w:start="707" w:hanging="283"/>
              <w:jc w:val="start"/>
              <w:rPr/>
            </w:pPr>
            <w:r>
              <w:rPr/>
              <w:t xml:space="preserve">Business or new product development </w:t>
            </w:r>
          </w:p>
          <w:p>
            <w:pPr>
              <w:pStyle w:val="TableContents"/>
              <w:numPr>
                <w:ilvl w:val="0"/>
                <w:numId w:val="2"/>
              </w:numPr>
              <w:tabs>
                <w:tab w:val="clear" w:pos="1134"/>
                <w:tab w:val="left" w:pos="707" w:leader="none"/>
              </w:tabs>
              <w:bidi w:val="0"/>
              <w:spacing w:before="0" w:after="0"/>
              <w:ind w:start="707" w:hanging="283"/>
              <w:jc w:val="start"/>
              <w:rPr/>
            </w:pPr>
            <w:r>
              <w:rPr/>
              <w:t xml:space="preserve">Industry, market and lifestyle trends </w:t>
            </w:r>
          </w:p>
          <w:p>
            <w:pPr>
              <w:pStyle w:val="TableContents"/>
              <w:numPr>
                <w:ilvl w:val="0"/>
                <w:numId w:val="2"/>
              </w:numPr>
              <w:tabs>
                <w:tab w:val="clear" w:pos="1134"/>
                <w:tab w:val="left" w:pos="707" w:leader="none"/>
              </w:tabs>
              <w:bidi w:val="0"/>
              <w:spacing w:before="0" w:after="0"/>
              <w:ind w:start="707" w:hanging="283"/>
              <w:jc w:val="start"/>
              <w:rPr/>
            </w:pPr>
            <w:r>
              <w:rPr/>
              <w:t xml:space="preserve">Global influences and import/export </w:t>
            </w:r>
          </w:p>
          <w:p>
            <w:pPr>
              <w:pStyle w:val="TableContents"/>
              <w:numPr>
                <w:ilvl w:val="0"/>
                <w:numId w:val="2"/>
              </w:numPr>
              <w:tabs>
                <w:tab w:val="clear" w:pos="1134"/>
                <w:tab w:val="left" w:pos="707" w:leader="none"/>
              </w:tabs>
              <w:bidi w:val="0"/>
              <w:spacing w:before="0" w:after="0"/>
              <w:ind w:start="707" w:hanging="283"/>
              <w:jc w:val="start"/>
              <w:rPr/>
            </w:pPr>
            <w:r>
              <w:rPr/>
              <w:t xml:space="preserve">Seasonal business trends </w:t>
            </w:r>
          </w:p>
          <w:p>
            <w:pPr>
              <w:pStyle w:val="TableContents"/>
              <w:numPr>
                <w:ilvl w:val="0"/>
                <w:numId w:val="2"/>
              </w:numPr>
              <w:tabs>
                <w:tab w:val="clear" w:pos="1134"/>
                <w:tab w:val="left" w:pos="707" w:leader="none"/>
              </w:tabs>
              <w:bidi w:val="0"/>
              <w:spacing w:before="0" w:after="283"/>
              <w:ind w:start="707" w:hanging="283"/>
              <w:jc w:val="start"/>
              <w:rPr/>
            </w:pPr>
            <w:r>
              <w:rPr/>
              <w:t xml:space="preserve">Economies of scale and production volumes </w:t>
            </w:r>
          </w:p>
        </w:tc>
      </w:tr>
      <w:tr>
        <w:trPr/>
        <w:tc>
          <w:tcPr>
            <w:tcW w:w="346" w:type="dxa"/>
            <w:tcBorders/>
            <w:vAlign w:val="center"/>
          </w:tcPr>
          <w:p>
            <w:pPr>
              <w:pStyle w:val="TableContents"/>
              <w:bidi w:val="0"/>
              <w:jc w:val="start"/>
              <w:rPr/>
            </w:pPr>
            <w:r>
              <w:rPr/>
              <w:t xml:space="preserve">U </w:t>
            </w:r>
          </w:p>
          <w:p>
            <w:pPr>
              <w:pStyle w:val="TableContents"/>
              <w:bidi w:val="0"/>
              <w:jc w:val="start"/>
              <w:rPr/>
            </w:pPr>
            <w:r>
              <w:rPr/>
              <w:t xml:space="preserve">n </w:t>
            </w:r>
          </w:p>
          <w:p>
            <w:pPr>
              <w:pStyle w:val="TableContents"/>
              <w:bidi w:val="0"/>
              <w:jc w:val="start"/>
              <w:rPr/>
            </w:pPr>
            <w:r>
              <w:rPr/>
              <w:t xml:space="preserve">f </w:t>
            </w:r>
          </w:p>
          <w:p>
            <w:pPr>
              <w:pStyle w:val="TableContents"/>
              <w:bidi w:val="0"/>
              <w:jc w:val="start"/>
              <w:rPr/>
            </w:pPr>
            <w:r>
              <w:rPr/>
              <w:t xml:space="preserve">a </w:t>
            </w:r>
          </w:p>
          <w:p>
            <w:pPr>
              <w:pStyle w:val="TableContents"/>
              <w:bidi w:val="0"/>
              <w:jc w:val="start"/>
              <w:rPr/>
            </w:pPr>
            <w:r>
              <w:rPr/>
              <w:t xml:space="preserve">v </w:t>
            </w:r>
          </w:p>
          <w:p>
            <w:pPr>
              <w:pStyle w:val="TableContents"/>
              <w:bidi w:val="0"/>
              <w:jc w:val="start"/>
              <w:rPr/>
            </w:pPr>
            <w:r>
              <w:rPr/>
              <w:t xml:space="preserve">o </w:t>
            </w:r>
          </w:p>
          <w:p>
            <w:pPr>
              <w:pStyle w:val="TableContents"/>
              <w:bidi w:val="0"/>
              <w:jc w:val="start"/>
              <w:rPr/>
            </w:pPr>
            <w:r>
              <w:rPr/>
              <w:t xml:space="preserve">r </w:t>
            </w:r>
          </w:p>
          <w:p>
            <w:pPr>
              <w:pStyle w:val="TableContents"/>
              <w:bidi w:val="0"/>
              <w:jc w:val="start"/>
              <w:rPr/>
            </w:pPr>
            <w:r>
              <w:rPr/>
              <w:t xml:space="preserve">a </w:t>
            </w:r>
          </w:p>
          <w:p>
            <w:pPr>
              <w:pStyle w:val="TableContents"/>
              <w:bidi w:val="0"/>
              <w:jc w:val="start"/>
              <w:rPr/>
            </w:pPr>
            <w:r>
              <w:rPr/>
              <w:t xml:space="preserve">b </w:t>
            </w:r>
          </w:p>
          <w:p>
            <w:pPr>
              <w:pStyle w:val="TableContents"/>
              <w:bidi w:val="0"/>
              <w:jc w:val="start"/>
              <w:rPr/>
            </w:pPr>
            <w:r>
              <w:rPr/>
              <w:t xml:space="preserve">l </w:t>
            </w:r>
          </w:p>
          <w:p>
            <w:pPr>
              <w:pStyle w:val="TableContents"/>
              <w:bidi w:val="0"/>
              <w:spacing w:before="0" w:after="283"/>
              <w:jc w:val="start"/>
              <w:rPr/>
            </w:pPr>
            <w:r>
              <w:rPr/>
              <w:t xml:space="preserve">e </w:t>
            </w:r>
          </w:p>
        </w:tc>
        <w:tc>
          <w:tcPr>
            <w:tcW w:w="5947" w:type="dxa"/>
            <w:tcBorders/>
            <w:vAlign w:val="center"/>
          </w:tcPr>
          <w:p>
            <w:pPr>
              <w:pStyle w:val="TableContents"/>
              <w:bidi w:val="0"/>
              <w:jc w:val="start"/>
              <w:rPr/>
            </w:pPr>
            <w:r>
              <w:rPr/>
              <w:t xml:space="preserve">Weaknesses: </w:t>
            </w:r>
          </w:p>
          <w:p>
            <w:pPr>
              <w:pStyle w:val="TableContents"/>
              <w:numPr>
                <w:ilvl w:val="0"/>
                <w:numId w:val="2"/>
              </w:numPr>
              <w:tabs>
                <w:tab w:val="clear" w:pos="1134"/>
                <w:tab w:val="left" w:pos="707" w:leader="none"/>
              </w:tabs>
              <w:bidi w:val="0"/>
              <w:spacing w:before="0" w:after="0"/>
              <w:ind w:start="707" w:hanging="283"/>
              <w:jc w:val="start"/>
              <w:rPr/>
            </w:pPr>
            <w:r>
              <w:rPr/>
              <w:t xml:space="preserve">Lack of capabilities </w:t>
            </w:r>
          </w:p>
          <w:p>
            <w:pPr>
              <w:pStyle w:val="TableContents"/>
              <w:numPr>
                <w:ilvl w:val="0"/>
                <w:numId w:val="2"/>
              </w:numPr>
              <w:tabs>
                <w:tab w:val="clear" w:pos="1134"/>
                <w:tab w:val="left" w:pos="707" w:leader="none"/>
              </w:tabs>
              <w:bidi w:val="0"/>
              <w:spacing w:before="0" w:after="0"/>
              <w:ind w:start="707" w:hanging="283"/>
              <w:jc w:val="start"/>
              <w:rPr/>
            </w:pPr>
            <w:r>
              <w:rPr/>
              <w:t xml:space="preserve">Unfocused competitive strengths or lack of a core competency </w:t>
            </w:r>
          </w:p>
          <w:p>
            <w:pPr>
              <w:pStyle w:val="TableContents"/>
              <w:numPr>
                <w:ilvl w:val="0"/>
                <w:numId w:val="2"/>
              </w:numPr>
              <w:tabs>
                <w:tab w:val="clear" w:pos="1134"/>
                <w:tab w:val="left" w:pos="707" w:leader="none"/>
              </w:tabs>
              <w:bidi w:val="0"/>
              <w:spacing w:before="0" w:after="0"/>
              <w:ind w:start="707" w:hanging="283"/>
              <w:jc w:val="start"/>
              <w:rPr/>
            </w:pPr>
            <w:r>
              <w:rPr/>
              <w:t xml:space="preserve">Deadline, pressure and time limits </w:t>
            </w:r>
          </w:p>
          <w:p>
            <w:pPr>
              <w:pStyle w:val="TableContents"/>
              <w:numPr>
                <w:ilvl w:val="0"/>
                <w:numId w:val="2"/>
              </w:numPr>
              <w:tabs>
                <w:tab w:val="clear" w:pos="1134"/>
                <w:tab w:val="left" w:pos="707" w:leader="none"/>
              </w:tabs>
              <w:bidi w:val="0"/>
              <w:spacing w:before="0" w:after="0"/>
              <w:ind w:start="707" w:hanging="283"/>
              <w:jc w:val="start"/>
              <w:rPr/>
            </w:pPr>
            <w:r>
              <w:rPr/>
              <w:t xml:space="preserve">Cash drain or cash limitations </w:t>
            </w:r>
          </w:p>
          <w:p>
            <w:pPr>
              <w:pStyle w:val="TableContents"/>
              <w:numPr>
                <w:ilvl w:val="0"/>
                <w:numId w:val="2"/>
              </w:numPr>
              <w:tabs>
                <w:tab w:val="clear" w:pos="1134"/>
                <w:tab w:val="left" w:pos="707" w:leader="none"/>
              </w:tabs>
              <w:bidi w:val="0"/>
              <w:spacing w:before="0" w:after="0"/>
              <w:ind w:start="707" w:hanging="283"/>
              <w:jc w:val="start"/>
              <w:rPr/>
            </w:pPr>
            <w:r>
              <w:rPr/>
              <w:t xml:space="preserve">Supply chain continuity and delivery </w:t>
            </w:r>
          </w:p>
          <w:p>
            <w:pPr>
              <w:pStyle w:val="TableContents"/>
              <w:numPr>
                <w:ilvl w:val="0"/>
                <w:numId w:val="2"/>
              </w:numPr>
              <w:tabs>
                <w:tab w:val="clear" w:pos="1134"/>
                <w:tab w:val="left" w:pos="707" w:leader="none"/>
              </w:tabs>
              <w:bidi w:val="0"/>
              <w:spacing w:before="0" w:after="0"/>
              <w:ind w:start="707" w:hanging="283"/>
              <w:jc w:val="start"/>
              <w:rPr/>
            </w:pPr>
            <w:r>
              <w:rPr/>
              <w:t xml:space="preserve">Inefficient management structure or lack of succession planning </w:t>
            </w:r>
          </w:p>
          <w:p>
            <w:pPr>
              <w:pStyle w:val="TableContents"/>
              <w:numPr>
                <w:ilvl w:val="0"/>
                <w:numId w:val="2"/>
              </w:numPr>
              <w:tabs>
                <w:tab w:val="clear" w:pos="1134"/>
                <w:tab w:val="left" w:pos="707" w:leader="none"/>
              </w:tabs>
              <w:bidi w:val="0"/>
              <w:spacing w:before="0" w:after="283"/>
              <w:ind w:start="707" w:hanging="283"/>
              <w:jc w:val="start"/>
              <w:rPr/>
            </w:pPr>
            <w:r>
              <w:rPr/>
              <w:t xml:space="preserve">Business reputation, reach or awareness level </w:t>
            </w:r>
          </w:p>
        </w:tc>
        <w:tc>
          <w:tcPr>
            <w:tcW w:w="5046" w:type="dxa"/>
            <w:tcBorders/>
            <w:vAlign w:val="center"/>
          </w:tcPr>
          <w:p>
            <w:pPr>
              <w:pStyle w:val="TableContents"/>
              <w:bidi w:val="0"/>
              <w:jc w:val="start"/>
              <w:rPr/>
            </w:pPr>
            <w:r>
              <w:rPr/>
              <w:t xml:space="preserve">Threats: </w:t>
            </w:r>
          </w:p>
          <w:p>
            <w:pPr>
              <w:pStyle w:val="TableContents"/>
              <w:numPr>
                <w:ilvl w:val="0"/>
                <w:numId w:val="2"/>
              </w:numPr>
              <w:tabs>
                <w:tab w:val="clear" w:pos="1134"/>
                <w:tab w:val="left" w:pos="707" w:leader="none"/>
              </w:tabs>
              <w:bidi w:val="0"/>
              <w:spacing w:before="0" w:after="0"/>
              <w:ind w:start="707" w:hanging="283"/>
              <w:jc w:val="start"/>
              <w:rPr/>
            </w:pPr>
            <w:r>
              <w:rPr/>
              <w:t xml:space="preserve">New legislative regulations </w:t>
            </w:r>
          </w:p>
          <w:p>
            <w:pPr>
              <w:pStyle w:val="TableContents"/>
              <w:numPr>
                <w:ilvl w:val="0"/>
                <w:numId w:val="2"/>
              </w:numPr>
              <w:tabs>
                <w:tab w:val="clear" w:pos="1134"/>
                <w:tab w:val="left" w:pos="707" w:leader="none"/>
              </w:tabs>
              <w:bidi w:val="0"/>
              <w:spacing w:before="0" w:after="0"/>
              <w:ind w:start="707" w:hanging="283"/>
              <w:jc w:val="start"/>
              <w:rPr/>
            </w:pPr>
            <w:r>
              <w:rPr/>
              <w:t xml:space="preserve">Political, environmental and economical effect </w:t>
            </w:r>
          </w:p>
          <w:p>
            <w:pPr>
              <w:pStyle w:val="TableContents"/>
              <w:numPr>
                <w:ilvl w:val="0"/>
                <w:numId w:val="2"/>
              </w:numPr>
              <w:tabs>
                <w:tab w:val="clear" w:pos="1134"/>
                <w:tab w:val="left" w:pos="707" w:leader="none"/>
              </w:tabs>
              <w:bidi w:val="0"/>
              <w:spacing w:before="0" w:after="0"/>
              <w:ind w:start="707" w:hanging="283"/>
              <w:jc w:val="start"/>
              <w:rPr/>
            </w:pPr>
            <w:r>
              <w:rPr/>
              <w:t xml:space="preserve">Development in the IT and communications industry </w:t>
            </w:r>
          </w:p>
          <w:p>
            <w:pPr>
              <w:pStyle w:val="TableContents"/>
              <w:numPr>
                <w:ilvl w:val="0"/>
                <w:numId w:val="2"/>
              </w:numPr>
              <w:tabs>
                <w:tab w:val="clear" w:pos="1134"/>
                <w:tab w:val="left" w:pos="707" w:leader="none"/>
              </w:tabs>
              <w:bidi w:val="0"/>
              <w:spacing w:before="0" w:after="0"/>
              <w:ind w:start="707" w:hanging="283"/>
              <w:jc w:val="start"/>
              <w:rPr/>
            </w:pPr>
            <w:r>
              <w:rPr/>
              <w:t xml:space="preserve">Loss of resources or partners </w:t>
            </w:r>
          </w:p>
          <w:p>
            <w:pPr>
              <w:pStyle w:val="TableContents"/>
              <w:numPr>
                <w:ilvl w:val="0"/>
                <w:numId w:val="2"/>
              </w:numPr>
              <w:tabs>
                <w:tab w:val="clear" w:pos="1134"/>
                <w:tab w:val="left" w:pos="707" w:leader="none"/>
              </w:tabs>
              <w:bidi w:val="0"/>
              <w:spacing w:before="0" w:after="0"/>
              <w:ind w:start="707" w:hanging="283"/>
              <w:jc w:val="start"/>
              <w:rPr/>
            </w:pPr>
            <w:r>
              <w:rPr/>
              <w:t xml:space="preserve">Changes in market demands </w:t>
            </w:r>
          </w:p>
          <w:p>
            <w:pPr>
              <w:pStyle w:val="TableContents"/>
              <w:numPr>
                <w:ilvl w:val="0"/>
                <w:numId w:val="2"/>
              </w:numPr>
              <w:tabs>
                <w:tab w:val="clear" w:pos="1134"/>
                <w:tab w:val="left" w:pos="707" w:leader="none"/>
              </w:tabs>
              <w:bidi w:val="0"/>
              <w:spacing w:before="0" w:after="0"/>
              <w:ind w:start="707" w:hanging="283"/>
              <w:jc w:val="start"/>
              <w:rPr/>
            </w:pPr>
            <w:r>
              <w:rPr/>
              <w:t xml:space="preserve">Shift in competitive atmosphere </w:t>
            </w:r>
          </w:p>
          <w:p>
            <w:pPr>
              <w:pStyle w:val="TableContents"/>
              <w:numPr>
                <w:ilvl w:val="0"/>
                <w:numId w:val="2"/>
              </w:numPr>
              <w:tabs>
                <w:tab w:val="clear" w:pos="1134"/>
                <w:tab w:val="left" w:pos="707" w:leader="none"/>
              </w:tabs>
              <w:bidi w:val="0"/>
              <w:spacing w:before="0" w:after="283"/>
              <w:ind w:start="707" w:hanging="283"/>
              <w:jc w:val="start"/>
              <w:rPr/>
            </w:pPr>
            <w:r>
              <w:rPr/>
              <w:t xml:space="preserve">Unavoidable circumstances like natural calamities </w:t>
            </w:r>
          </w:p>
        </w:tc>
      </w:tr>
    </w:tbl>
    <w:p>
      <w:pPr>
        <w:pStyle w:val="TextBody"/>
        <w:bidi w:val="0"/>
        <w:spacing w:before="0" w:after="283"/>
        <w:jc w:val="start"/>
        <w:rPr/>
      </w:pPr>
      <w:r>
        <w:rPr/>
        <w:t xml:space="preserve">How to use a SWOT analysis template </w:t>
      </w:r>
    </w:p>
    <w:p>
      <w:pPr>
        <w:pStyle w:val="TextBody"/>
        <w:bidi w:val="0"/>
        <w:spacing w:before="0" w:after="283"/>
        <w:jc w:val="start"/>
        <w:rPr/>
      </w:pPr>
      <w:r>
        <w:rPr/>
        <w:t xml:space="preserve">This SWOT analysis template can give you an idea of factors that can be included in each of these categories. In every SWOT analysis model, it is common that a set of two elements always negates the set of other two elements. Strengths oppose the weaknesses while opportunities and threats go against each other. In that particular order, you can consider all possible market elements that relate to a situation, putting them in either one of these categories. While you are running a SWOT over a situation, a factor which isn’t exactly your strength is counted as your weakness. </w:t>
      </w:r>
    </w:p>
    <w:p>
      <w:pPr>
        <w:pStyle w:val="TextBody"/>
        <w:bidi w:val="0"/>
        <w:spacing w:before="0" w:after="283"/>
        <w:jc w:val="start"/>
        <w:rPr/>
      </w:pPr>
      <w:r>
        <w:rPr/>
        <w:t xml:space="preserve">SWOT is a subjective form of analysis that is made by a business manager. Every manager would interpret this SWOT analysis template in his or her own way, making somewhat biased assumptions. This is one of the biggest limitations associated with this analysis and the reason why managers prefer to carry out SWOT with a team through a brainstorming session, allowing multiple opinions to be heard and completely unbiased decisions to be made. External consultants can also be hired to analyze a business and develop a SWOT analytical report for the company’s current situation in order to limit the biasness, based on the aforementioned SWOT analysis template. </w:t>
      </w:r>
    </w:p>
    <w:p>
      <w:pPr>
        <w:pStyle w:val="TextBody"/>
        <w:bidi w:val="0"/>
        <w:spacing w:before="0" w:after="283"/>
        <w:jc w:val="start"/>
        <w:rPr/>
      </w:pPr>
      <w:r>
        <w:rPr/>
        <w:t xml:space="preserve">Image: Ivanov Alexey/Shutterstock.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https://assignbuster.com/swot-analysis-template-for-efficient-business-planning/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template for efficient 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2">
    <w:abstractNumId w:val="1"/>
  </w:num>
  <w:num w:numId="2">
    <w:abstractNumId w:val="1"/>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template for efficient business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template for efficient business planning</dc:title>
  <dc:subject>Business;</dc:subject>
  <dc:creator>AssignBuster</dc:creator>
  <cp:keywords/>
  <dc:description>SWOT Analysis can be used for various purposes including: Marketing Analysis Business Development Strategic Planning Research Report Business Planning...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