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"https://assignbuster.com/requirements-of-engineering/"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Requirements of engineering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spacing w:before="0" w:after="283"/>
        <w:jc w:val="start"/>
        <w:rPr/>
      </w:pPr>
      <w:r>
        <w:rPr/>
        <w:t xml:space="preserve">The present-day approaches incorporate techniques from both paradigms. This has raised a question concerning the superiority of each strand of the paradigm to another. This diverts the attention of the main issues which are: activities to be included in requirements engineering, what institutes a requirement, and issue that need more attention. Requirements engineering activities involves the incorporation of standard mechanisms in fashions that are advanced instead of persisting with the exercise of reinventing the constituents themselves. </w:t>
        <w:br/>
        <w:t xml:space="preserve">What constitutes a requirement explains the complete statement of what the system will do without regard to how it will do it. To understand this we should differentiate functional and non-functional requirements. Issues that are fundamental include backing-up market-driven inventors, ranking requirements according to desirability and necessity, integration of design artefacts, accessibility of requirements methods and tools, and coping with incompleteness. </w:t>
        <w:br/>
        <w:t xml:space="preserve">For effective management of these requirements, we should seek to avoid common mistakes like underestimating the cost of the shifting requirements, discovering wrong requirements when it is too late, lack of understanding the main user needs and problems, and lack of communication of urgencies and status to the team. The main objective of requirements engineering is to narrow the gap between research and practice.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https://assignbuster.com/requirements-of-engineering/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Requirements of engineering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Requirements of engineering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of engineering</dc:title>
  <dc:subject>Engineering;</dc:subject>
  <dc:creator>AssignBuster</dc:creator>
  <cp:keywords/>
  <dc:description>The main objective of requirements engineering is to narrow the gap between research and practice.</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