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"https://assignbuster.com/kendle-international-inc/"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Kendle international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Kendle International Inc. </w:t>
      </w:r>
    </w:p>
    <w:p>
      <w:pPr>
        <w:pStyle w:val="TextBody"/>
        <w:bidi w:val="0"/>
        <w:spacing w:before="0" w:after="283"/>
        <w:jc w:val="start"/>
        <w:rPr/>
      </w:pPr>
      <w:r>
        <w:rPr/>
        <w:t xml:space="preserve">Kendle is involved in contractual research for companies. Kendle is basically a clinical research organization, and it provides services from Phase I-IV of clinical development to bigger pharma companies Kendle delivers integrated clinical research services, including clinical trial management, clinical data management, statistical analysis, medical writing, regulatory consulting and organizational meeting management and publications services on a contract basis to the pharma industry. Kendle operates in North America, Europe, Asia/Pacific, Latin America and Africa. On August 16, 2006, Kendle completed the acquisition of Phase II-IV Clinical Services business of Charles River Laboratories International, Inc. In April 2006, Kendle acquired CRO International Clinical Research Limited. </w:t>
      </w:r>
    </w:p>
    <w:p>
      <w:pPr>
        <w:pStyle w:val="TextBody"/>
        <w:bidi w:val="0"/>
        <w:spacing w:before="0" w:after="283"/>
        <w:jc w:val="start"/>
        <w:rPr/>
      </w:pPr>
      <w:r>
        <w:rPr/>
        <w:t xml:space="preserve">The current financials of Kendle are as follows: </w:t>
      </w:r>
    </w:p>
    <w:p>
      <w:pPr>
        <w:pStyle w:val="TextBody"/>
        <w:bidi w:val="0"/>
        <w:spacing w:before="0" w:after="283"/>
        <w:jc w:val="start"/>
        <w:rPr/>
      </w:pPr>
      <w:r>
        <w:rPr/>
        <w:t xml:space="preserve">(In millions of USD) </w:t>
      </w:r>
    </w:p>
    <w:p>
      <w:pPr>
        <w:pStyle w:val="TextBody"/>
        <w:bidi w:val="0"/>
        <w:spacing w:before="0" w:after="283"/>
        <w:jc w:val="start"/>
        <w:rPr/>
      </w:pPr>
      <w:r>
        <w:rPr/>
        <w:t xml:space="preserve">Income Statement </w:t>
        <w:br/>
        <w:t xml:space="preserve">Quarterly </w:t>
        <w:br/>
        <w:t xml:space="preserve">(Jun '06) </w:t>
        <w:br/>
        <w:t xml:space="preserve">Annual </w:t>
        <w:br/>
        <w:t xml:space="preserve">(2005) </w:t>
        <w:br/>
        <w:t xml:space="preserve">Annual </w:t>
        <w:br/>
        <w:t xml:space="preserve">(2004) </w:t>
        <w:br/>
        <w:t xml:space="preserve">Total Revenue </w:t>
        <w:br/>
        <w:t xml:space="preserve">81. 92 </w:t>
        <w:br/>
        <w:t xml:space="preserve">250. 64 </w:t>
        <w:br/>
        <w:t xml:space="preserve">215. 87 </w:t>
        <w:br/>
        <w:t xml:space="preserve">Gross Profit </w:t>
        <w:br/>
        <w:t xml:space="preserve">28. 13 </w:t>
        <w:br/>
        <w:t xml:space="preserve">93. 45 </w:t>
        <w:br/>
        <w:t xml:space="preserve">75. 98 </w:t>
        <w:br/>
        <w:t xml:space="preserve">Operating Income </w:t>
        <w:br/>
        <w:t xml:space="preserve">6. 40 </w:t>
        <w:br/>
        <w:t xml:space="preserve">17. 54 </w:t>
        <w:br/>
        <w:t xml:space="preserve">7. 30 </w:t>
        <w:br/>
        <w:t xml:space="preserve">Net Income </w:t>
        <w:br/>
        <w:t xml:space="preserve">4. 29 </w:t>
        <w:br/>
        <w:t xml:space="preserve">10. 67 </w:t>
        <w:br/>
        <w:t xml:space="preserve">3. 57 </w:t>
        <w:br/>
        <w:t xml:space="preserve">Balance Sheet </w:t>
      </w:r>
    </w:p>
    <w:p>
      <w:pPr>
        <w:pStyle w:val="TextBody"/>
        <w:bidi w:val="0"/>
        <w:spacing w:before="0" w:after="283"/>
        <w:jc w:val="start"/>
        <w:rPr/>
      </w:pPr>
      <w:r>
        <w:rPr/>
        <w:t xml:space="preserve">Total Current Assets </w:t>
        <w:br/>
        <w:t xml:space="preserve">139. 52 </w:t>
        <w:br/>
        <w:t xml:space="preserve">123. 95 </w:t>
        <w:br/>
        <w:t xml:space="preserve">95. 17 </w:t>
        <w:br/>
        <w:t xml:space="preserve">Total Assets </w:t>
        <w:br/>
        <w:t xml:space="preserve">203. 79 </w:t>
        <w:br/>
        <w:t xml:space="preserve">184. 76 </w:t>
        <w:br/>
        <w:t xml:space="preserve">162. 68 </w:t>
        <w:br/>
        <w:t xml:space="preserve">Total Current Liabilities </w:t>
        <w:br/>
        <w:t xml:space="preserve">63. 93 </w:t>
        <w:br/>
        <w:t xml:space="preserve">59. 96 </w:t>
        <w:br/>
        <w:t xml:space="preserve">54. 46 </w:t>
        <w:br/>
        <w:t xml:space="preserve">Total Liabilities </w:t>
        <w:br/>
        <w:t xml:space="preserve">65. 46 </w:t>
        <w:br/>
        <w:t xml:space="preserve">62. 26 </w:t>
        <w:br/>
        <w:t xml:space="preserve">59. 91 </w:t>
        <w:br/>
        <w:t xml:space="preserve">Total Equity </w:t>
        <w:br/>
        <w:t xml:space="preserve">138. 34 </w:t>
        <w:br/>
        <w:t xml:space="preserve">122. 50 </w:t>
        <w:br/>
        <w:t xml:space="preserve">102. 78 </w:t>
        <w:br/>
        <w:t xml:space="preserve">Cash Flow </w:t>
      </w:r>
    </w:p>
    <w:p>
      <w:pPr>
        <w:pStyle w:val="TextBody"/>
        <w:bidi w:val="0"/>
        <w:spacing w:before="0" w:after="283"/>
        <w:jc w:val="start"/>
        <w:rPr/>
      </w:pPr>
      <w:r>
        <w:rPr/>
        <w:t xml:space="preserve">Net Income/Starting Line </w:t>
        <w:br/>
        <w:t xml:space="preserve">- </w:t>
        <w:br/>
        <w:t xml:space="preserve">10. 67 </w:t>
        <w:br/>
        <w:t xml:space="preserve">3. 57 </w:t>
        <w:br/>
        <w:t xml:space="preserve">Cash from Operating </w:t>
        <w:br/>
        <w:t xml:space="preserve">4. 49 </w:t>
        <w:br/>
        <w:t xml:space="preserve">23. 03 </w:t>
        <w:br/>
        <w:t xml:space="preserve">7. 08 </w:t>
        <w:br/>
        <w:t xml:space="preserve">Cash from Investing </w:t>
        <w:br/>
        <w:t xml:space="preserve">3. 29 </w:t>
        <w:br/>
        <w:t xml:space="preserve">-5. 15 </w:t>
        <w:br/>
        <w:t xml:space="preserve">-6. 02 </w:t>
        <w:br/>
        <w:t xml:space="preserve">Cash from Financing </w:t>
        <w:br/>
        <w:t xml:space="preserve">-2. 13 </w:t>
        <w:br/>
        <w:t xml:space="preserve">2. 21 </w:t>
        <w:br/>
        <w:t xml:space="preserve">-5. 43 </w:t>
        <w:br/>
        <w:t xml:space="preserve">Net Change in Cash </w:t>
        <w:br/>
        <w:t xml:space="preserve">5. 93 </w:t>
        <w:br/>
        <w:t xml:space="preserve">19. 77 </w:t>
        <w:br/>
        <w:t xml:space="preserve">-4. 08 </w:t>
        <w:br/>
        <w:t xml:space="preserve">; </w:t>
      </w:r>
    </w:p>
    <w:p>
      <w:pPr>
        <w:pStyle w:val="TextBody"/>
        <w:bidi w:val="0"/>
        <w:spacing w:before="0" w:after="283"/>
        <w:jc w:val="start"/>
        <w:rPr/>
      </w:pPr>
      <w:r>
        <w:rPr/>
        <w:t xml:space="preserve">Key Stats ; Ratios </w:t>
      </w:r>
    </w:p>
    <w:p>
      <w:pPr>
        <w:pStyle w:val="TextBody"/>
        <w:bidi w:val="0"/>
        <w:spacing w:before="0" w:after="283"/>
        <w:jc w:val="start"/>
        <w:rPr/>
      </w:pPr>
      <w:r>
        <w:rPr/>
        <w:t xml:space="preserve">Quarterly </w:t>
        <w:br/>
        <w:t xml:space="preserve">(Sep '06) </w:t>
        <w:br/>
        <w:t xml:space="preserve">Annual </w:t>
        <w:br/>
        <w:t xml:space="preserve">(2005) </w:t>
        <w:br/>
        <w:t xml:space="preserve">Annual </w:t>
        <w:br/>
        <w:t xml:space="preserve">(TTM) </w:t>
        <w:br/>
        <w:t xml:space="preserve">Net Profit Margin </w:t>
        <w:br/>
        <w:t xml:space="preserve">4. 13% </w:t>
        <w:br/>
        <w:t xml:space="preserve">4. 26% </w:t>
        <w:br/>
        <w:t xml:space="preserve">5. 24% </w:t>
        <w:br/>
        <w:t xml:space="preserve">Operating Margin </w:t>
        <w:br/>
        <w:t xml:space="preserve">8. 37% </w:t>
        <w:br/>
        <w:t xml:space="preserve">7. 00% </w:t>
        <w:br/>
        <w:t xml:space="preserve">8. 37% </w:t>
        <w:br/>
        <w:t xml:space="preserve">EBITD Margin </w:t>
        <w:br/>
        <w:t xml:space="preserve">- </w:t>
        <w:br/>
        <w:t xml:space="preserve">10. 19% </w:t>
        <w:br/>
        <w:t xml:space="preserve">10. 88% </w:t>
        <w:br/>
        <w:t xml:space="preserve">Return on Average Assets </w:t>
        <w:br/>
        <w:t xml:space="preserve">- </w:t>
        <w:br/>
        <w:t xml:space="preserve">6. 14% </w:t>
        <w:br/>
        <w:t xml:space="preserve">- </w:t>
        <w:br/>
        <w:t xml:space="preserve">Return on Average Equity </w:t>
        <w:br/>
        <w:t xml:space="preserve">- </w:t>
        <w:br/>
        <w:t xml:space="preserve">9. 48% </w:t>
        <w:br/>
        <w:t xml:space="preserve">- </w:t>
        <w:br/>
        <w:t xml:space="preserve">Employees </w:t>
        <w:br/>
        <w:t xml:space="preserve">1, 900 </w:t>
        <w:br/>
        <w:t xml:space="preserve">- </w:t>
        <w:br/>
        <w:t xml:space="preserve">- </w:t>
        <w:br/>
        <w:t xml:space="preserve">However compared to the competition, the basic numbers are as follows: </w:t>
      </w:r>
    </w:p>
    <w:p>
      <w:pPr>
        <w:pStyle w:val="TextBody"/>
        <w:bidi w:val="0"/>
        <w:spacing w:before="0" w:after="283"/>
        <w:jc w:val="start"/>
        <w:rPr/>
      </w:pPr>
      <w:r>
        <w:rPr/>
        <w:t xml:space="preserve">Company </w:t>
        <w:br/>
        <w:t xml:space="preserve">Revenue </w:t>
        <w:br/>
        <w:t xml:space="preserve">Market Cap </w:t>
        <w:br/>
        <w:t xml:space="preserve">EPS </w:t>
        <w:br/>
        <w:t xml:space="preserve">PE Ratio </w:t>
        <w:br/>
        <w:t xml:space="preserve">Beta </w:t>
        <w:br/>
        <w:t xml:space="preserve">Quote </w:t>
      </w:r>
    </w:p>
    <w:p>
      <w:pPr>
        <w:pStyle w:val="TextBody"/>
        <w:bidi w:val="0"/>
        <w:spacing w:before="0" w:after="283"/>
        <w:jc w:val="start"/>
        <w:rPr/>
      </w:pPr>
      <w:r>
        <w:rPr/>
        <w:t xml:space="preserve">Kendle </w:t>
        <w:br/>
        <w:t xml:space="preserve">250 </w:t>
        <w:br/>
        <w:t xml:space="preserve">503 </w:t>
        <w:br/>
        <w:t xml:space="preserve">1. 15 </w:t>
        <w:br/>
        <w:t xml:space="preserve">30. 48 </w:t>
        <w:br/>
        <w:t xml:space="preserve">2. 11 </w:t>
        <w:br/>
        <w:t xml:space="preserve">35. 05 </w:t>
      </w:r>
    </w:p>
    <w:p>
      <w:pPr>
        <w:pStyle w:val="TextBody"/>
        <w:bidi w:val="0"/>
        <w:spacing w:before="0" w:after="283"/>
        <w:jc w:val="start"/>
        <w:rPr/>
      </w:pPr>
      <w:r>
        <w:rPr/>
        <w:t xml:space="preserve">http://google. brand. edgar-online. com/fetchFilingFrameset. aspx? FilingID= 4279576&amp;Type= HTML </w:t>
      </w:r>
    </w:p>
    <w:p>
      <w:pPr>
        <w:pStyle w:val="TextBody"/>
        <w:bidi w:val="0"/>
        <w:spacing w:before="0" w:after="283"/>
        <w:jc w:val="start"/>
        <w:rPr/>
      </w:pPr>
      <w:r>
        <w:rPr/>
        <w:t xml:space="preserve">Parexel </w:t>
        <w:br/>
        <w:t xml:space="preserve">760 </w:t>
        <w:br/>
        <w:t xml:space="preserve">829 </w:t>
        <w:br/>
        <w:t xml:space="preserve">0. 87 </w:t>
        <w:br/>
        <w:t xml:space="preserve">35 </w:t>
        <w:br/>
        <w:t xml:space="preserve">0. 9 </w:t>
        <w:br/>
        <w:t xml:space="preserve">30. 7 </w:t>
      </w:r>
    </w:p>
    <w:p>
      <w:pPr>
        <w:pStyle w:val="TextBody"/>
        <w:bidi w:val="0"/>
        <w:spacing w:before="0" w:after="283"/>
        <w:jc w:val="start"/>
        <w:rPr/>
      </w:pPr>
      <w:r>
        <w:rPr/>
        <w:t xml:space="preserve">Covance </w:t>
        <w:br/>
        <w:t xml:space="preserve">1250 </w:t>
        <w:br/>
        <w:t xml:space="preserve">3920 </w:t>
        <w:br/>
        <w:t xml:space="preserve">2. 12 </w:t>
        <w:br/>
        <w:t xml:space="preserve">28. 9 </w:t>
        <w:br/>
        <w:t xml:space="preserve">0. 32 </w:t>
        <w:br/>
        <w:t xml:space="preserve">61. 25 </w:t>
      </w:r>
    </w:p>
    <w:p>
      <w:pPr>
        <w:pStyle w:val="TextBody"/>
        <w:bidi w:val="0"/>
        <w:spacing w:before="0" w:after="283"/>
        <w:jc w:val="start"/>
        <w:rPr/>
      </w:pPr>
      <w:r>
        <w:rPr/>
        <w:t xml:space="preserve">Pharmaceutical Product Development </w:t>
        <w:br/>
        <w:t xml:space="preserve">1037 </w:t>
        <w:br/>
        <w:t xml:space="preserve">3700 </w:t>
        <w:br/>
        <w:t xml:space="preserve">1. 33 </w:t>
        <w:br/>
        <w:t xml:space="preserve">23. 7 </w:t>
        <w:br/>
        <w:t xml:space="preserve">1. 19 </w:t>
        <w:br/>
        <w:t xml:space="preserve">31. 6 </w:t>
      </w:r>
    </w:p>
    <w:p>
      <w:pPr>
        <w:pStyle w:val="TextBody"/>
        <w:bidi w:val="0"/>
        <w:spacing w:before="0" w:after="283"/>
        <w:jc w:val="start"/>
        <w:rPr/>
      </w:pPr>
      <w:r>
        <w:rPr/>
        <w:t xml:space="preserve">Pharmanet Development Group </w:t>
        <w:br/>
        <w:t xml:space="preserve">429 </w:t>
        <w:br/>
        <w:t xml:space="preserve">427 </w:t>
        <w:br/>
        <w:t xml:space="preserve">-2. 22 </w:t>
        <w:br/>
        <w:t xml:space="preserve">10. 38 </w:t>
        <w:br/>
        <w:t xml:space="preserve">1. 52 </w:t>
        <w:br/>
        <w:t xml:space="preserve">23. 04 </w:t>
      </w:r>
    </w:p>
    <w:p>
      <w:pPr>
        <w:pStyle w:val="TextBody"/>
        <w:bidi w:val="0"/>
        <w:spacing w:before="0" w:after="283"/>
        <w:jc w:val="start"/>
        <w:rPr/>
      </w:pPr>
      <w:r>
        <w:rPr/>
        <w:t xml:space="preserve">The Advisory Board Company </w:t>
        <w:br/>
        <w:t xml:space="preserve">165 </w:t>
        <w:br/>
        <w:t xml:space="preserve">1. 09 </w:t>
        <w:br/>
        <w:t xml:space="preserve">1. 31 </w:t>
        <w:br/>
        <w:t xml:space="preserve">44 </w:t>
        <w:br/>
        <w:t xml:space="preserve">0. 53 </w:t>
        <w:br/>
        <w:t xml:space="preserve">57. 73 </w:t>
      </w:r>
    </w:p>
    <w:p>
      <w:pPr>
        <w:pStyle w:val="TextBody"/>
        <w:bidi w:val="0"/>
        <w:spacing w:before="0" w:after="283"/>
        <w:jc w:val="start"/>
        <w:rPr/>
      </w:pPr>
      <w:r>
        <w:rPr/>
        <w:t xml:space="preserve">As an industry the companies enjoy a very high PE ratio. </w:t>
      </w:r>
    </w:p>
    <w:p>
      <w:pPr>
        <w:pStyle w:val="TextBody"/>
        <w:bidi w:val="0"/>
        <w:spacing w:before="0" w:after="283"/>
        <w:jc w:val="start"/>
        <w:rPr/>
      </w:pPr>
      <w:r>
        <w:rPr/>
        <w:t xml:space="preserve">The 10k Reports are available on Edgar online and also on the 10k wizard.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https://assignbuster.com/kendle-international-inc/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Kendle international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Kendle international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Kendle international inc.</dc:title>
  <dc:subject>Finance;</dc:subject>
  <dc:creator>AssignBuster</dc:creator>
  <cp:keywords/>
  <dc:description>57 Cash from Operating 4.</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