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"https://assignbuster.com/corrigendum-genotypephenotype-association-analysis-reveals-new-pathogenic-factors-for-osteogenesis-imperfecta-disease/"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genotype–phenotype association analysis reveals new pathogenic facto...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Genotype–Phenotype Association Analysis Reveals New Pathogenic Factors for Osteogenesis Imperfecta Disease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Shi J, Ren M, Jia J, Tang M, Guo Y, Ni X and Shi T. (2019). Front. Pharmacol. 10: 1200. doi: </w:t>
      </w:r>
      <w:hyperlink r:id="rId15">
        <w:r>
          <w:rPr>
            <w:rStyle w:val="a8"/>
            <w:i/>
          </w:rPr>
          <w:t xml:space="preserve">10. 3389/fphar. 2019. 01200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an error in theFundingstatement. The correct number for “ Beihang University &amp; Capital Medical University Advanced Innovation Center for Big Data-Based Precision Medicine Plan” is “ BHME- 201804.”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Additionally, in the original article, there was one error. In theDiscussionsection, the locations of the four candidate pathogenic variations in </w:t>
      </w:r>
      <w:r>
        <w:rPr>
          <w:i/>
        </w:rPr>
        <w:t xml:space="preserve">COL1A1 </w:t>
      </w:r>
      <w:r>
        <w:rPr/>
        <w:t xml:space="preserve">were incorrectly mapped to the major ligand-binding region (MLBR3).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correction has been made to theDiscussion, Paragraph five: </w:t>
      </w:r>
    </w:p>
    <w:p>
      <w:pPr>
        <w:pStyle w:val="Quotations"/>
        <w:bidi w:val="0"/>
        <w:spacing w:before="0" w:after="283"/>
        <w:ind w:start="567" w:end="567" w:hanging="0"/>
        <w:jc w:val="start"/>
        <w:rPr/>
      </w:pPr>
      <w:r>
        <w:rPr/>
        <w:t xml:space="preserve">“ </w:t>
      </w:r>
      <w:r>
        <w:rPr/>
        <w:t xml:space="preserve">To validate the pathogenicity of the candidate variations in </w:t>
      </w:r>
      <w:r>
        <w:rPr>
          <w:i/>
        </w:rPr>
        <w:t xml:space="preserve">COL1A1 </w:t>
      </w:r>
      <w:r>
        <w:rPr/>
        <w:t xml:space="preserve">, we checked the specificity of their locations (positions of the four candidate mutations: 1094 and 1097). Evidence from the protein families database (Pfam) ( </w:t>
      </w:r>
      <w:hyperlink w:anchor="B4">
        <w:r>
          <w:rPr>
            <w:rStyle w:val="a8"/>
          </w:rPr>
          <w:t xml:space="preserve">El-Gebali et al., 2019 </w:t>
        </w:r>
      </w:hyperlink>
      <w:r>
        <w:rPr/>
        <w:t xml:space="preserve">) demonstrate that the locations of all four variations belong to the collagen triple helix region (PF01391: Collagen triple helix repeat (1079–1137)). Structurally, different abnormalities in the collagen helix are associated with the identity of the residue replacing Gly ( </w:t>
      </w:r>
      <w:hyperlink w:anchor="B2">
        <w:r>
          <w:rPr>
            <w:rStyle w:val="a8"/>
          </w:rPr>
          <w:t xml:space="preserve">Bryan et al., 2011 </w:t>
        </w:r>
      </w:hyperlink>
      <w:r>
        <w:rPr/>
        <w:t xml:space="preserve">; </w:t>
      </w:r>
      <w:hyperlink w:anchor="B5">
        <w:r>
          <w:rPr>
            <w:rStyle w:val="a8"/>
          </w:rPr>
          <w:t xml:space="preserve">Qiu et al., 2018 </w:t>
        </w:r>
      </w:hyperlink>
      <w:r>
        <w:rPr/>
        <w:t xml:space="preserve">), which also influence the severity of OI patients (residues replacing Gly of four candidate mutations: Asp, Arg, and Ser). Through the statistical analysis on the location of Glysubstitution mutations in a large number of OI patients, Beck et al. found that all Gly→Asp in the α1(l) chain led to OI type II (perinatal lethat form) ( </w:t>
      </w:r>
      <w:hyperlink w:anchor="B1">
        <w:r>
          <w:rPr>
            <w:rStyle w:val="a8"/>
          </w:rPr>
          <w:t xml:space="preserve">Beck et al., 2000 </w:t>
        </w:r>
      </w:hyperlink>
      <w:r>
        <w:rPr/>
        <w:t xml:space="preserve">). In addition, the study of the impact of various Gly replacements discovered that the three replaced form (Gly→Arg, Gly→Ser, and Gly→Cys) had a stronger association with OI lethality than the other replaced forms ( </w:t>
      </w:r>
      <w:hyperlink w:anchor="B1">
        <w:r>
          <w:rPr>
            <w:rStyle w:val="a8"/>
          </w:rPr>
          <w:t xml:space="preserve">Beck et al., 2000 </w:t>
        </w:r>
      </w:hyperlink>
      <w:r>
        <w:rPr/>
        <w:t xml:space="preserve">). In all, these conclusions indicate that the four candidate mutations of </w:t>
      </w:r>
      <w:r>
        <w:rPr>
          <w:i/>
        </w:rPr>
        <w:t xml:space="preserve">COL1A1 </w:t>
      </w:r>
      <w:r>
        <w:rPr/>
        <w:t xml:space="preserve">we identified are highly likely to cause lethal OI phenotypes.”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Due to the error outlined above, the citations for “ </w:t>
      </w:r>
      <w:hyperlink w:anchor="B3">
        <w:r>
          <w:rPr>
            <w:rStyle w:val="a8"/>
          </w:rPr>
          <w:t xml:space="preserve">Di Lullo et al., 2002 </w:t>
        </w:r>
      </w:hyperlink>
      <w:r>
        <w:rPr/>
        <w:t xml:space="preserve">” and “ </w:t>
      </w:r>
      <w:hyperlink w:anchor="B6">
        <w:r>
          <w:rPr>
            <w:rStyle w:val="a8"/>
          </w:rPr>
          <w:t xml:space="preserve">Xiao et al., 2015 </w:t>
        </w:r>
      </w:hyperlink>
      <w:r>
        <w:rPr/>
        <w:t xml:space="preserve">” have been removed from the reference list, and “ </w:t>
      </w:r>
      <w:hyperlink w:anchor="B4">
        <w:r>
          <w:rPr>
            <w:rStyle w:val="a8"/>
          </w:rPr>
          <w:t xml:space="preserve">El-Gebali et al., 2019 </w:t>
        </w:r>
      </w:hyperlink>
      <w:r>
        <w:rPr/>
        <w:t xml:space="preserve">” has been cited instead.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these errors and state that these do not change the scientific conclusions of the article in any way. 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2" w:name="B1"/>
      <w:bookmarkEnd w:id="2"/>
      <w:r>
        <w:rPr/>
        <w:t xml:space="preserve">Beck, K., Chan, V. C., Shenoy, N., Kirkpatrick, A., Ramshaw, J. A., Brodsky, B. (2000). Destabilization of osteogenesis imperfecta collagen-like model peptides correlates with the identity of the residue replacing glycine. </w:t>
      </w:r>
      <w:r>
        <w:rPr>
          <w:i/>
        </w:rPr>
        <w:t xml:space="preserve">Proc. Natl. Acad. Sci. U. S. A. </w:t>
      </w:r>
      <w:r>
        <w:rPr/>
        <w:t xml:space="preserve">97 (8), 4273–4278. doi: 10. 1073/pnas. 070050097 </w:t>
      </w:r>
    </w:p>
    <w:p>
      <w:pPr>
        <w:pStyle w:val="TextBody"/>
        <w:bidi w:val="0"/>
        <w:spacing w:before="0" w:after="283"/>
        <w:jc w:val="start"/>
        <w:rPr/>
      </w:pPr>
      <w:hyperlink r:id="rId1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7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18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3" w:name="B2"/>
      <w:bookmarkEnd w:id="3"/>
      <w:r>
        <w:rPr/>
        <w:t xml:space="preserve">Bryan, M. A., Cheng, H., Brodsky, B. (2011). Sequence environment of mutation affects stability and folding in collagen model peptides of osteogenesis imperfecta. </w:t>
      </w:r>
      <w:r>
        <w:rPr>
          <w:i/>
        </w:rPr>
        <w:t xml:space="preserve">Biopolymers </w:t>
      </w:r>
      <w:r>
        <w:rPr/>
        <w:t xml:space="preserve">96 (1), 4–13. doi: 10. 1002/bip. 21432 </w:t>
      </w:r>
    </w:p>
    <w:p>
      <w:pPr>
        <w:pStyle w:val="TextBody"/>
        <w:bidi w:val="0"/>
        <w:spacing w:before="0" w:after="283"/>
        <w:jc w:val="start"/>
        <w:rPr/>
      </w:pPr>
      <w:hyperlink r:id="rId19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0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21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4" w:name="B3"/>
      <w:bookmarkEnd w:id="4"/>
      <w:r>
        <w:rPr/>
        <w:t xml:space="preserve">Di Lullo, G. A., Sweeney, S. M., Korkko, J., Ala-Kokko, L., San Antonio, J. D. (2002). Mapping the ligand-binding sites and disease-associated mutations on the most abundant protein in the human, type I collagen. </w:t>
      </w:r>
      <w:r>
        <w:rPr>
          <w:i/>
        </w:rPr>
        <w:t xml:space="preserve">J. Biol. Chem. </w:t>
      </w:r>
      <w:r>
        <w:rPr/>
        <w:t xml:space="preserve">277 (6), 4223–4231. doi: 10. 1074/jbc. M110709200 </w:t>
      </w:r>
    </w:p>
    <w:p>
      <w:pPr>
        <w:pStyle w:val="TextBody"/>
        <w:bidi w:val="0"/>
        <w:spacing w:before="0" w:after="283"/>
        <w:jc w:val="start"/>
        <w:rPr/>
      </w:pPr>
      <w:hyperlink r:id="rId22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3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24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5" w:name="B4"/>
      <w:bookmarkEnd w:id="5"/>
      <w:r>
        <w:rPr/>
        <w:t xml:space="preserve">El-Gebali, S., Mistry, J., Bateman, A., Eddy, S. R., Luciani, A., Potter, S. C., et al. (2019). The Pfam protein families database in 2019. </w:t>
      </w:r>
      <w:r>
        <w:rPr>
          <w:i/>
        </w:rPr>
        <w:t xml:space="preserve">Nucleic Acids Res. </w:t>
      </w:r>
      <w:r>
        <w:rPr/>
        <w:t xml:space="preserve">47 (D1), D427–D432. doi: 10. 1093/nar/gky995 </w:t>
      </w:r>
    </w:p>
    <w:p>
      <w:pPr>
        <w:pStyle w:val="TextBody"/>
        <w:bidi w:val="0"/>
        <w:spacing w:before="0" w:after="283"/>
        <w:jc w:val="start"/>
        <w:rPr/>
      </w:pPr>
      <w:hyperlink r:id="rId25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6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27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6" w:name="B5"/>
      <w:bookmarkEnd w:id="6"/>
      <w:r>
        <w:rPr/>
        <w:t xml:space="preserve">Qiu, Y., Mekkat, A., Yu, H., Yigit, S., Hamaia, S., Farndale, R. W., et al. (2018). Collagen Gly missense mutations: effect of residue identity on collagen structure and integrin binding. </w:t>
      </w:r>
      <w:r>
        <w:rPr>
          <w:i/>
        </w:rPr>
        <w:t xml:space="preserve">J. Struct. Biol. </w:t>
      </w:r>
      <w:r>
        <w:rPr/>
        <w:t xml:space="preserve">203 (3), 255–262. doi: 10. 1016/j. jsb. 2018. 05. 003 </w:t>
      </w:r>
    </w:p>
    <w:p>
      <w:pPr>
        <w:pStyle w:val="TextBody"/>
        <w:bidi w:val="0"/>
        <w:spacing w:before="0" w:after="283"/>
        <w:jc w:val="start"/>
        <w:rPr/>
      </w:pPr>
      <w:hyperlink r:id="rId28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9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30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7" w:name="B6"/>
      <w:bookmarkEnd w:id="7"/>
      <w:r>
        <w:rPr/>
        <w:t xml:space="preserve">Xiao, J., Yang, Z., Sun, X., Addabbo, R., Baum, J. (2015). Local amino acid sequence patterns dominate the heterogeneous phenotype for the collagen connective tissue disease osteogenesis imperfecta resulting from Gly mutations. </w:t>
      </w:r>
      <w:r>
        <w:rPr>
          <w:i/>
        </w:rPr>
        <w:t xml:space="preserve">J. Struct. Biol. </w:t>
      </w:r>
      <w:r>
        <w:rPr/>
        <w:t xml:space="preserve">192 (1), 127–137. doi: 10. 1016/j. jsb. 2015. 05. 002 </w:t>
      </w:r>
    </w:p>
    <w:p>
      <w:pPr>
        <w:pStyle w:val="TextBody"/>
        <w:bidi w:val="0"/>
        <w:spacing w:before="0" w:after="283"/>
        <w:jc w:val="start"/>
        <w:rPr/>
      </w:pPr>
      <w:hyperlink r:id="rId31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32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33" w:tgtFrame="_blank">
        <w:r>
          <w:rPr>
            <w:rStyle w:val="a8"/>
          </w:rPr>
          <w:t xml:space="preserve">Google Scholar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https://assignbuster.com/corrigendum-genotypephenotype-association-analysis-reveals-new-pathogenic-factors-for-osteogenesis-imperfecta-disease/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genotype–phenotype associat...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Quotations">
    <w:name w:val="Quotations"/>
    <w:basedOn w:val="Normal"/>
    <w:qFormat/>
    <w:pPr>
      <w:spacing w:lineRule="auto" w:line="480"/>
      <w:ind w:start="567" w:end="567" w:hanging="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har.2019.01200" TargetMode="External"/><Relationship Id="rId16" Type="http://schemas.openxmlformats.org/officeDocument/2006/relationships/hyperlink" Target="http://www.ncbi.nlm.nih.gov/sites/entrez?Db=pubmed&amp;Cmd=ShowDetailView&amp;TermToSearch=10725403" TargetMode="External"/><Relationship Id="rId17" Type="http://schemas.openxmlformats.org/officeDocument/2006/relationships/hyperlink" Target="https://doi.org/10.1073/pnas.070050097" TargetMode="External"/><Relationship Id="rId18" Type="http://schemas.openxmlformats.org/officeDocument/2006/relationships/hyperlink" Target="http://scholar.google.com/scholar_lookup?author=K.+Beck&amp;author=V. C.+Chan&amp;author=N.+Shenoy&amp;author=A.+Kirkpatrick&amp;author=J. A.+Ramshaw&amp;author=B.+Brodsky&amp;publication_year=2000&amp;title=Destabilization of osteogenesis imperfecta collagen-like model peptides correlates with the identity of the residue replacing glycine&amp;journal=Proc.+Natl.+Acad.+Sci.+U.+S.+A.&amp;volume=97&amp;pages=4273" TargetMode="External"/><Relationship Id="rId19" Type="http://schemas.openxmlformats.org/officeDocument/2006/relationships/hyperlink" Target="http://www.ncbi.nlm.nih.gov/sites/entrez?Db=pubmed&amp;Cmd=ShowDetailView&amp;TermToSearch=20235194" TargetMode="External"/><Relationship Id="rId20" Type="http://schemas.openxmlformats.org/officeDocument/2006/relationships/hyperlink" Target="https://doi.org/10.1002/bip.21432" TargetMode="External"/><Relationship Id="rId21" Type="http://schemas.openxmlformats.org/officeDocument/2006/relationships/hyperlink" Target="http://scholar.google.com/scholar_lookup?author=M. A.+Bryan&amp;author=H.+Cheng&amp;author=B.+Brodsky&amp;publication_year=2011&amp;title=Sequence environment of mutation affects stability and folding in collagen model peptides of osteogenesis imperfecta&amp;journal=Biopolymers&amp;volume=96&amp;pages=4" TargetMode="External"/><Relationship Id="rId22" Type="http://schemas.openxmlformats.org/officeDocument/2006/relationships/hyperlink" Target="http://www.ncbi.nlm.nih.gov/sites/entrez?Db=pubmed&amp;Cmd=ShowDetailView&amp;TermToSearch=11704682" TargetMode="External"/><Relationship Id="rId23" Type="http://schemas.openxmlformats.org/officeDocument/2006/relationships/hyperlink" Target="https://doi.org/10.1074/jbc.M110709200" TargetMode="External"/><Relationship Id="rId24" Type="http://schemas.openxmlformats.org/officeDocument/2006/relationships/hyperlink" Target="http://scholar.google.com/scholar_lookup?author=G. A.+Di Lullo&amp;author=S. M.+Sweeney&amp;author=J.+Korkko&amp;author=L.+Ala-Kokko&amp;author=J. D.+San Antonio&amp;publication_year=2002&amp;title=Mapping the ligand-binding sites and disease-associated mutations on the most abundant protein in the human%2C type I collagen&amp;journal=J.+Biol.+Chem.&amp;volume=277&amp;pages=4223" TargetMode="External"/><Relationship Id="rId25" Type="http://schemas.openxmlformats.org/officeDocument/2006/relationships/hyperlink" Target="http://www.ncbi.nlm.nih.gov/sites/entrez?Db=pubmed&amp;Cmd=ShowDetailView&amp;TermToSearch=30357350" TargetMode="External"/><Relationship Id="rId26" Type="http://schemas.openxmlformats.org/officeDocument/2006/relationships/hyperlink" Target="https://doi.org/10.1093/nar/gky995" TargetMode="External"/><Relationship Id="rId27" Type="http://schemas.openxmlformats.org/officeDocument/2006/relationships/hyperlink" Target="http://scholar.google.com/scholar_lookup?author=S.+El-Gebali&amp;author=J.+Mistry&amp;author=A.+Bateman&amp;author=S. R.+Eddy&amp;author=A.+Luciani&amp;author=S. C.+Potter&amp;publication_year=2019&amp;title=The Pfam protein families database in 2019&amp;journal=Nucleic+Acids+Res.&amp;volume=47&amp;pages=D427" TargetMode="External"/><Relationship Id="rId28" Type="http://schemas.openxmlformats.org/officeDocument/2006/relationships/hyperlink" Target="http://www.ncbi.nlm.nih.gov/sites/entrez?Db=pubmed&amp;Cmd=ShowDetailView&amp;TermToSearch=29758270" TargetMode="External"/><Relationship Id="rId29" Type="http://schemas.openxmlformats.org/officeDocument/2006/relationships/hyperlink" Target="https://doi.org/10.1016/j.jsb.2018.05.003" TargetMode="External"/><Relationship Id="rId30" Type="http://schemas.openxmlformats.org/officeDocument/2006/relationships/hyperlink" Target="http://scholar.google.com/scholar_lookup?author=Y.+Qiu&amp;author=A.+Mekkat&amp;author=H.+Yu&amp;author=S.+Yigit&amp;author=S.+Hamaia&amp;author=R. W.+Farndale&amp;publication_year=2018&amp;title=Collagen Gly missense mutations%3A effect of residue identity on collagen structure and integrin binding&amp;journal=J.+Struct.+Biol.&amp;volume=203&amp;pages=255" TargetMode="External"/><Relationship Id="rId31" Type="http://schemas.openxmlformats.org/officeDocument/2006/relationships/hyperlink" Target="http://www.ncbi.nlm.nih.gov/sites/entrez?Db=pubmed&amp;Cmd=ShowDetailView&amp;TermToSearch=25980613" TargetMode="External"/><Relationship Id="rId32" Type="http://schemas.openxmlformats.org/officeDocument/2006/relationships/hyperlink" Target="https://doi.org/10.1016/j.jsb.2015.05.002" TargetMode="External"/><Relationship Id="rId33" Type="http://schemas.openxmlformats.org/officeDocument/2006/relationships/hyperlink" Target="http://scholar.google.com/scholar_lookup?author=J.+Xiao&amp;author=Z.+Yang&amp;author=X.+Sun&amp;author=R.+Addabbo&amp;author=J.+Baum&amp;publication_year=2015&amp;title=Local amino acid sequence patterns dominate the heterogeneous phenotype for the collagen connective tissue disease osteogenesis imperfecta resulting from Gly mutations&amp;journal=J.+Struct.+Biol.&amp;volume=192&amp;pages=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genotype–phenotype association analysis reveals new pathogenic facto...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genotype–phenotype association analysis reveals new pathogenic facto...</dc:title>
  <dc:subject>Health &amp; Medicine;</dc:subject>
  <dc:creator>AssignBuster</dc:creator>
  <cp:keywords/>
  <dc:description>Through the statistical analysis on the location of Glysubstitution mutations in a large number of OI patients, Beck et al.found that all Gly Asp in t...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