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"https://assignbuster.com/mechanisms-of-sterile-inflammation/"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Mechanisms of sterile inflammation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Inflammation is a coordinated response of the immune system which is aimed at maintaining or restoring tissue integrity. Sterile inflammation can be triggered by physical, chemical, or metabolic noxious stimuli. The individual stimuli (genomic stress, ER stress, hypoxic stress, nutrient stress, etc.) promote a carefully choreographed set of cell responses to stress. Many types of stress responses exist (e. g., the unfolded protein response, integrated stress response, oxidative stress response, autophagy, etc.), and these can influence each other. Stress responses induce recruitment of inflammatory cells and result in inflammation. When the noxious stimuli persist over and cannot be eliminated or cleared inflammation fails to resolve, resulting in the development of a vicious circle which is part of the pathophysiology of many human diseases, including cancer, autoimmunity, chronic viral infections, chronic graft versus host disease, metabolic syndromes, and several acquired and inborn genetic disorders. Several proximal factors have been identified and proposed to play a role in the individual types of sterile inflammation, including redox responses, the occurrence of damage-associated molecular patterns molecules (DAMPs) and immune stimulatory heat shock proteins, and vascular remodeling. However, the detailed mechanism(s) linking stressful events and the development of inflammation have thus far remained elusive. The identification of the major molecular species in induction, development, and outcome of sterile inflammation, and the illumination of their mechanisms of action are therefore of paramount relevance for the design of effective therapeutic strategies for the treatment of the most common diseases of the Western world. Thus, this Special Topic focuses on articles that can shed new light on the molecular mechanisms of sterile inflammation. This collection of papers, written by experts in this field, addresses the most important current challenges in the topic of sterile inflammation. </w:t>
      </w:r>
    </w:p>
    <w:p>
      <w:pPr>
        <w:pStyle w:val="TextBody"/>
        <w:bidi w:val="0"/>
        <w:spacing w:before="0" w:after="283"/>
        <w:jc w:val="start"/>
        <w:rPr/>
      </w:pPr>
      <w:r>
        <w:rPr/>
        <w:t xml:space="preserve">A significant focus is placed on the factors that mediate sterile inflammation: DAMPs, released during tissue injury, and cytokines of the IL-1 family. In this family, some members such as IL-1β and IL-18 are true cytokines, in that they undergo active secretion by inflammatory cells, highly regulated at the post-translational level by inflammasomes ( </w:t>
      </w:r>
      <w:hyperlink w:anchor="B1">
        <w:r>
          <w:rPr>
            <w:rStyle w:val="a8"/>
          </w:rPr>
          <w:t xml:space="preserve">1 </w:t>
        </w:r>
      </w:hyperlink>
      <w:r>
        <w:rPr/>
        <w:t xml:space="preserve">) and regulatory receptors ( </w:t>
      </w:r>
      <w:hyperlink w:anchor="B2">
        <w:r>
          <w:rPr>
            <w:rStyle w:val="a8"/>
          </w:rPr>
          <w:t xml:space="preserve">2 </w:t>
        </w:r>
      </w:hyperlink>
      <w:r>
        <w:rPr/>
        <w:t xml:space="preserve">). Others, such as IL-1α ( </w:t>
      </w:r>
      <w:hyperlink w:anchor="B3">
        <w:r>
          <w:rPr>
            <w:rStyle w:val="a8"/>
          </w:rPr>
          <w:t xml:space="preserve">3 </w:t>
        </w:r>
      </w:hyperlink>
      <w:r>
        <w:rPr/>
        <w:t xml:space="preserve">), are molecules that are both DAMPs and cytokines, in that they initiate and perpetuate inflammation either after active secretion or when released by stressed cells undergoing necrosis ( </w:t>
      </w:r>
      <w:hyperlink w:anchor="B4">
        <w:r>
          <w:rPr>
            <w:rStyle w:val="a8"/>
          </w:rPr>
          <w:t xml:space="preserve">4 </w:t>
        </w:r>
      </w:hyperlink>
      <w:r>
        <w:rPr/>
        <w:t xml:space="preserve">). Interestingly, a similar behavior features the prototypic DAMP high mobility group box 1 (HMGB1) ( </w:t>
      </w:r>
      <w:hyperlink w:anchor="B5">
        <w:r>
          <w:rPr>
            <w:rStyle w:val="a8"/>
          </w:rPr>
          <w:t xml:space="preserve">5 </w:t>
        </w:r>
      </w:hyperlink>
      <w:r>
        <w:rPr/>
        <w:t xml:space="preserve">). In addition, this series describes the most recent observations on the cells involved in the process of sterile inflammation, not only professional inflammatory cells such as myelomonocytic cells but also innate lymphoid cells ( </w:t>
      </w:r>
      <w:hyperlink w:anchor="B6">
        <w:r>
          <w:rPr>
            <w:rStyle w:val="a8"/>
          </w:rPr>
          <w:t xml:space="preserve">6 </w:t>
        </w:r>
      </w:hyperlink>
      <w:r>
        <w:rPr/>
        <w:t xml:space="preserve">), granulocytes ( </w:t>
      </w:r>
      <w:hyperlink w:anchor="B7">
        <w:r>
          <w:rPr>
            <w:rStyle w:val="a8"/>
          </w:rPr>
          <w:t xml:space="preserve">7 </w:t>
        </w:r>
      </w:hyperlink>
      <w:r>
        <w:rPr/>
        <w:t xml:space="preserve">), and glial cells ( </w:t>
      </w:r>
      <w:hyperlink w:anchor="B8">
        <w:r>
          <w:rPr>
            <w:rStyle w:val="a8"/>
          </w:rPr>
          <w:t xml:space="preserve">8 </w:t>
        </w:r>
      </w:hyperlink>
      <w:r>
        <w:rPr/>
        <w:t xml:space="preserve">). Finally, sterile inflammation as a mechanism of disease is illustrated in important in pathologies such as type 2 diabetes ( </w:t>
      </w:r>
      <w:hyperlink w:anchor="B9">
        <w:r>
          <w:rPr>
            <w:rStyle w:val="a8"/>
          </w:rPr>
          <w:t xml:space="preserve">9 </w:t>
        </w:r>
      </w:hyperlink>
      <w:r>
        <w:rPr/>
        <w:t xml:space="preserve">) and endometriosis ( </w:t>
      </w:r>
      <w:hyperlink w:anchor="B10">
        <w:r>
          <w:rPr>
            <w:rStyle w:val="a8"/>
          </w:rPr>
          <w:t xml:space="preserve">10 </w:t>
        </w:r>
      </w:hyperlink>
      <w:r>
        <w:rPr/>
        <w:t xml:space="preserve">), in fungal infection, where DAMPs cooperate with pathogen associated molecular pattern molecules (PAMPs) in switching protective versus pathogenic inflammation ( </w:t>
      </w:r>
      <w:hyperlink w:anchor="B11">
        <w:r>
          <w:rPr>
            <w:rStyle w:val="a8"/>
          </w:rPr>
          <w:t xml:space="preserve">11 </w:t>
        </w:r>
      </w:hyperlink>
      <w:r>
        <w:rPr/>
        <w:t xml:space="preserve">), and in the regulation of physiologic processes such as parturition ( </w:t>
      </w:r>
      <w:hyperlink w:anchor="B12">
        <w:r>
          <w:rPr>
            <w:rStyle w:val="a8"/>
          </w:rPr>
          <w:t xml:space="preserve">12 </w:t>
        </w:r>
      </w:hyperlink>
      <w:r>
        <w:rPr/>
        <w:t xml:space="preserve">). </w:t>
      </w:r>
    </w:p>
    <w:p>
      <w:pPr>
        <w:pStyle w:val="Heading2"/>
        <w:bidi w:val="0"/>
        <w:jc w:val="start"/>
        <w:rPr/>
      </w:pPr>
      <w:bookmarkStart w:id="1" w:name="h2"/>
      <w:bookmarkEnd w:id="1"/>
      <w:r>
        <w:rPr/>
        <w:t xml:space="preserve">References </w:t>
      </w:r>
    </w:p>
    <w:p>
      <w:pPr>
        <w:pStyle w:val="TextBody"/>
        <w:bidi w:val="0"/>
        <w:spacing w:before="0" w:after="283"/>
        <w:jc w:val="start"/>
        <w:rPr/>
      </w:pPr>
      <w:bookmarkStart w:id="2" w:name="B1"/>
      <w:bookmarkEnd w:id="2"/>
      <w:r>
        <w:rPr/>
        <w:t xml:space="preserve">1. Gombault A, Baron L, Couillin I. ATP release and purinergic signaling in NLRP3 inflammasome activation. </w:t>
      </w:r>
      <w:r>
        <w:rPr>
          <w:i/>
        </w:rPr>
        <w:t xml:space="preserve">Front Immunol </w:t>
      </w:r>
      <w:r>
        <w:rPr/>
        <w:t xml:space="preserve">(2013)3 : 414. doi: 10. 3389/fimmu. 2012. 00414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3" w:name="B2"/>
      <w:bookmarkEnd w:id="3"/>
      <w:r>
        <w:rPr/>
        <w:t xml:space="preserve">2. Riva F, Bonavita E, Barbati E, Muzio M, Mantovani A, Garlanda C. TIR8/SIGIRR is an interleukin-1 receptor/toll like receptor family member with regulatory functions in inflammation and immunity. </w:t>
      </w:r>
      <w:r>
        <w:rPr>
          <w:i/>
        </w:rPr>
        <w:t xml:space="preserve">Front Immunol </w:t>
      </w:r>
      <w:r>
        <w:rPr/>
        <w:t xml:space="preserve">(2012)3 : 322. doi: 10. 3389/fimmu. 2012. 00322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4" w:name="B3"/>
      <w:bookmarkEnd w:id="4"/>
      <w:r>
        <w:rPr/>
        <w:t xml:space="preserve">3. Rider P, Kaplanov I, Romzova M, Bernardis L, Braiman A, Voronov E, et al. The transcription of the alarmin cytokine interleukin-1 alpha is controlled by hypoxia inducible factors 1 and 2 alpha in hypoxic cells. </w:t>
      </w:r>
      <w:r>
        <w:rPr>
          <w:i/>
        </w:rPr>
        <w:t xml:space="preserve">Front Immunol </w:t>
      </w:r>
      <w:r>
        <w:rPr/>
        <w:t xml:space="preserve">(2012)3 : 290. doi: 10. 3389/fimmu. 2012. 00290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5" w:name="B4"/>
      <w:bookmarkEnd w:id="5"/>
      <w:r>
        <w:rPr/>
        <w:t xml:space="preserve">4. Lukens JR, Gross JM, Kanneganti T-D. IL-1 family cytokines trigger sterile inflammatory disease. </w:t>
      </w:r>
      <w:r>
        <w:rPr>
          <w:i/>
        </w:rPr>
        <w:t xml:space="preserve">Front Immunol </w:t>
      </w:r>
      <w:r>
        <w:rPr/>
        <w:t xml:space="preserve">(2012)3 : 315. doi: 10. 3389/fimmu. 2012. 00315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6" w:name="B5"/>
      <w:bookmarkEnd w:id="6"/>
      <w:r>
        <w:rPr/>
        <w:t xml:space="preserve">5. Li G, Liang X, Lotze MT. HMGB1: the central cytokine for all lymphoid cells. </w:t>
      </w:r>
      <w:r>
        <w:rPr>
          <w:i/>
        </w:rPr>
        <w:t xml:space="preserve">Front Immunol </w:t>
      </w:r>
      <w:r>
        <w:rPr/>
        <w:t xml:space="preserve">(2013)4 : 68. doi: 10. 3389/fimmu. 2013. 00068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7" w:name="B6"/>
      <w:bookmarkEnd w:id="7"/>
      <w:r>
        <w:rPr/>
        <w:t xml:space="preserve">6. Russell SE, Walsh PT. Sterile inflammation – do innate lymphoid cell subsets play a role? </w:t>
      </w:r>
      <w:r>
        <w:rPr>
          <w:i/>
        </w:rPr>
        <w:t xml:space="preserve">Front Immunol </w:t>
      </w:r>
      <w:r>
        <w:rPr/>
        <w:t xml:space="preserve">(2012)3 : 246. doi: 10. 3389/fimmu. 2012. 00246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8" w:name="B7"/>
      <w:bookmarkEnd w:id="8"/>
      <w:r>
        <w:rPr/>
        <w:t xml:space="preserve">7. Schorn C, Janko C, Latzko M, Chaurio R, Schett G, Herrmann M. Monosodium urate crystals induce extracellular DNA traps in neutrophils, eosinophils, and basophils but not in mononuclear cells. </w:t>
      </w:r>
      <w:r>
        <w:rPr>
          <w:i/>
        </w:rPr>
        <w:t xml:space="preserve">Front Immunol </w:t>
      </w:r>
      <w:r>
        <w:rPr/>
        <w:t xml:space="preserve">(2012)3 : 277. doi: 10. 3389/fimmu. 2012. 00277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9" w:name="B8"/>
      <w:bookmarkEnd w:id="9"/>
      <w:r>
        <w:rPr/>
        <w:t xml:space="preserve">8. Savage C, Lopez-Castejon G, Denes A, Brough D. NLRP3-inflammasome activating DAMPs stimulate an inflammatory response in glia in the absence of priming which contributes to brain inflammation after injury. </w:t>
      </w:r>
      <w:r>
        <w:rPr>
          <w:i/>
        </w:rPr>
        <w:t xml:space="preserve">Front Immunol </w:t>
      </w:r>
      <w:r>
        <w:rPr/>
        <w:t xml:space="preserve">(2012)3 : 288. doi: 10. 3389/fimmu. 2012. 00288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10" w:name="B9"/>
      <w:bookmarkEnd w:id="10"/>
      <w:r>
        <w:rPr/>
        <w:t xml:space="preserve">9. Grant RW, Dixit WD. Mechanisms of disease: inflammasome activation and the development of type 2 diabetes. </w:t>
      </w:r>
      <w:r>
        <w:rPr>
          <w:i/>
        </w:rPr>
        <w:t xml:space="preserve">Front Immunol </w:t>
      </w:r>
      <w:r>
        <w:rPr/>
        <w:t xml:space="preserve">(2013)4 : 50. doi: 10. 3389/fimmu. 2013. 00050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Pubmed Full Text </w:t>
        </w:r>
      </w:hyperlink>
      <w:r>
        <w:rPr/>
        <w:t xml:space="preserve">| </w:t>
      </w:r>
      <w:hyperlink r:id="rId41" w:tgtFrame="_blank">
        <w:r>
          <w:rPr>
            <w:rStyle w:val="a8"/>
          </w:rPr>
          <w:t xml:space="preserve">CrossRef Full Text </w:t>
        </w:r>
      </w:hyperlink>
    </w:p>
    <w:p>
      <w:pPr>
        <w:pStyle w:val="TextBody"/>
        <w:bidi w:val="0"/>
        <w:spacing w:before="0" w:after="283"/>
        <w:jc w:val="start"/>
        <w:rPr/>
      </w:pPr>
      <w:bookmarkStart w:id="11" w:name="B10"/>
      <w:bookmarkEnd w:id="11"/>
      <w:r>
        <w:rPr/>
        <w:t xml:space="preserve">10. Capobianco A, Rovere-Querini P. Endometriosis, a disease of the macrophage. </w:t>
      </w:r>
      <w:r>
        <w:rPr>
          <w:i/>
        </w:rPr>
        <w:t xml:space="preserve">Front Immunol </w:t>
      </w:r>
      <w:r>
        <w:rPr/>
        <w:t xml:space="preserve">(2013)4 : 9. doi: 10. 3389/fimmu. 2013. 00009 </w:t>
      </w:r>
    </w:p>
    <w:p>
      <w:pPr>
        <w:pStyle w:val="TextBody"/>
        <w:bidi w:val="0"/>
        <w:spacing w:before="0" w:after="283"/>
        <w:jc w:val="start"/>
        <w:rPr/>
      </w:pPr>
      <w:hyperlink r:id="rId42" w:tgtFrame="_blank">
        <w:r>
          <w:rPr>
            <w:rStyle w:val="a8"/>
          </w:rPr>
          <w:t xml:space="preserve">CrossRef Full Text </w:t>
        </w:r>
      </w:hyperlink>
    </w:p>
    <w:p>
      <w:pPr>
        <w:pStyle w:val="TextBody"/>
        <w:bidi w:val="0"/>
        <w:spacing w:before="0" w:after="283"/>
        <w:jc w:val="start"/>
        <w:rPr/>
      </w:pPr>
      <w:bookmarkStart w:id="12" w:name="B11"/>
      <w:bookmarkEnd w:id="12"/>
      <w:r>
        <w:rPr/>
        <w:t xml:space="preserve">11. Cunha C, Carvalho A, Esposito A, Bistoni F, Romani L. DAMP signaling in fungal infections and diseases. </w:t>
      </w:r>
      <w:r>
        <w:rPr>
          <w:i/>
        </w:rPr>
        <w:t xml:space="preserve">Front Immunol </w:t>
      </w:r>
      <w:r>
        <w:rPr/>
        <w:t xml:space="preserve">(2012)3 : 286. doi: 10. 3389/fimmu. 2012. 00286 </w:t>
      </w:r>
    </w:p>
    <w:p>
      <w:pPr>
        <w:pStyle w:val="TextBody"/>
        <w:bidi w:val="0"/>
        <w:spacing w:before="0" w:after="283"/>
        <w:jc w:val="start"/>
        <w:rPr/>
      </w:pPr>
      <w:hyperlink r:id="rId43" w:tgtFrame="_blank">
        <w:r>
          <w:rPr>
            <w:rStyle w:val="a8"/>
          </w:rPr>
          <w:t xml:space="preserve">CrossRef Full Text </w:t>
        </w:r>
      </w:hyperlink>
    </w:p>
    <w:p>
      <w:pPr>
        <w:pStyle w:val="TextBody"/>
        <w:bidi w:val="0"/>
        <w:spacing w:before="0" w:after="283"/>
        <w:jc w:val="start"/>
        <w:rPr/>
      </w:pPr>
      <w:bookmarkStart w:id="13" w:name="B12"/>
      <w:bookmarkEnd w:id="13"/>
      <w:r>
        <w:rPr/>
        <w:t xml:space="preserve">12. Kobayashi H. The entry of fetal and amniotic fluid components into the uterine vessel circulation leads to sterile inflammatory processes during parturition. </w:t>
      </w:r>
      <w:r>
        <w:rPr>
          <w:i/>
        </w:rPr>
        <w:t xml:space="preserve">Front Immunol </w:t>
      </w:r>
      <w:r>
        <w:rPr/>
        <w:t xml:space="preserve">(2012)3 : 321. doi: 10. 3389/fimmu. 2012. 00321 </w:t>
      </w:r>
    </w:p>
    <w:p>
      <w:pPr>
        <w:pStyle w:val="TextBody"/>
        <w:bidi w:val="0"/>
        <w:spacing w:before="0" w:after="283"/>
        <w:jc w:val="start"/>
        <w:rPr/>
      </w:pPr>
      <w:hyperlink r:id="rId44" w:tgtFrame="_blank">
        <w:r>
          <w:rPr>
            <w:rStyle w:val="a8"/>
          </w:rPr>
          <w:t xml:space="preserve">Pubmed Abstract </w:t>
        </w:r>
      </w:hyperlink>
      <w:r>
        <w:rPr/>
        <w:t xml:space="preserve">| </w:t>
      </w:r>
      <w:hyperlink r:id="rId45" w:tgtFrame="_blank">
        <w:r>
          <w:rPr>
            <w:rStyle w:val="a8"/>
          </w:rPr>
          <w:t xml:space="preserve">Pubmed Full Text </w:t>
        </w:r>
      </w:hyperlink>
      <w:r>
        <w:rPr/>
        <w:t xml:space="preserve">| </w:t>
      </w:r>
      <w:hyperlink r:id="rId46"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https://assignbuster.com/mechanisms-of-sterile-inflammation/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Mechanisms of sterile inflammation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23316199" TargetMode="External"/><Relationship Id="rId16" Type="http://schemas.openxmlformats.org/officeDocument/2006/relationships/hyperlink" Target="http://eutils.ncbi.nlm.nih.gov/entrez/eutils/elink.fcgi?db=pubmed&amp;cmd=prlinks&amp;retmode=ref&amp;id=23316199" TargetMode="External"/><Relationship Id="rId17" Type="http://schemas.openxmlformats.org/officeDocument/2006/relationships/hyperlink" Target="http://dx.doi.org/10.3389/fimmu.2012.00414" TargetMode="External"/><Relationship Id="rId18" Type="http://schemas.openxmlformats.org/officeDocument/2006/relationships/hyperlink" Target="http://www.ncbi.nlm.nih.gov/sites/entrez?Db=pubmed&amp;Cmd=ShowDetailView&amp;TermToSearch=23112799" TargetMode="External"/><Relationship Id="rId19" Type="http://schemas.openxmlformats.org/officeDocument/2006/relationships/hyperlink" Target="http://eutils.ncbi.nlm.nih.gov/entrez/eutils/elink.fcgi?db=pubmed&amp;cmd=prlinks&amp;retmode=ref&amp;id=23112799" TargetMode="External"/><Relationship Id="rId20" Type="http://schemas.openxmlformats.org/officeDocument/2006/relationships/hyperlink" Target="http://dx.doi.org/10.3389/fimmu.2012.00322" TargetMode="External"/><Relationship Id="rId21" Type="http://schemas.openxmlformats.org/officeDocument/2006/relationships/hyperlink" Target="http://www.ncbi.nlm.nih.gov/sites/entrez?Db=pubmed&amp;Cmd=ShowDetailView&amp;TermToSearch=23049530" TargetMode="External"/><Relationship Id="rId22" Type="http://schemas.openxmlformats.org/officeDocument/2006/relationships/hyperlink" Target="http://eutils.ncbi.nlm.nih.gov/entrez/eutils/elink.fcgi?db=pubmed&amp;cmd=prlinks&amp;retmode=ref&amp;id=23049530" TargetMode="External"/><Relationship Id="rId23" Type="http://schemas.openxmlformats.org/officeDocument/2006/relationships/hyperlink" Target="http://dx.doi.org/10.3389/fimmu.2012.00290" TargetMode="External"/><Relationship Id="rId24" Type="http://schemas.openxmlformats.org/officeDocument/2006/relationships/hyperlink" Target="http://www.ncbi.nlm.nih.gov/sites/entrez?Db=pubmed&amp;Cmd=ShowDetailView&amp;TermToSearch=23087690" TargetMode="External"/><Relationship Id="rId25" Type="http://schemas.openxmlformats.org/officeDocument/2006/relationships/hyperlink" Target="http://eutils.ncbi.nlm.nih.gov/entrez/eutils/elink.fcgi?db=pubmed&amp;cmd=prlinks&amp;retmode=ref&amp;id=23087690" TargetMode="External"/><Relationship Id="rId26" Type="http://schemas.openxmlformats.org/officeDocument/2006/relationships/hyperlink" Target="http://dx.doi.org/10.3389/fimmu.2012.00315" TargetMode="External"/><Relationship Id="rId27" Type="http://schemas.openxmlformats.org/officeDocument/2006/relationships/hyperlink" Target="http://www.ncbi.nlm.nih.gov/sites/entrez?Db=pubmed&amp;Cmd=ShowDetailView&amp;TermToSearch=23519706" TargetMode="External"/><Relationship Id="rId28" Type="http://schemas.openxmlformats.org/officeDocument/2006/relationships/hyperlink" Target="http://eutils.ncbi.nlm.nih.gov/entrez/eutils/elink.fcgi?db=pubmed&amp;cmd=prlinks&amp;retmode=ref&amp;id=23519706" TargetMode="External"/><Relationship Id="rId29" Type="http://schemas.openxmlformats.org/officeDocument/2006/relationships/hyperlink" Target="http://dx.doi.org/10.3389/fimmu.2013.00068" TargetMode="External"/><Relationship Id="rId30" Type="http://schemas.openxmlformats.org/officeDocument/2006/relationships/hyperlink" Target="http://www.ncbi.nlm.nih.gov/sites/entrez?Db=pubmed&amp;Cmd=ShowDetailView&amp;TermToSearch=22891068" TargetMode="External"/><Relationship Id="rId31" Type="http://schemas.openxmlformats.org/officeDocument/2006/relationships/hyperlink" Target="http://eutils.ncbi.nlm.nih.gov/entrez/eutils/elink.fcgi?db=pubmed&amp;cmd=prlinks&amp;retmode=ref&amp;id=22891068" TargetMode="External"/><Relationship Id="rId32" Type="http://schemas.openxmlformats.org/officeDocument/2006/relationships/hyperlink" Target="http://dx.doi.org/10.3389/fimmu.2012.00246" TargetMode="External"/><Relationship Id="rId33" Type="http://schemas.openxmlformats.org/officeDocument/2006/relationships/hyperlink" Target="http://www.ncbi.nlm.nih.gov/sites/entrez?Db=pubmed&amp;Cmd=ShowDetailView&amp;TermToSearch=22969769" TargetMode="External"/><Relationship Id="rId34" Type="http://schemas.openxmlformats.org/officeDocument/2006/relationships/hyperlink" Target="http://eutils.ncbi.nlm.nih.gov/entrez/eutils/elink.fcgi?db=pubmed&amp;cmd=prlinks&amp;retmode=ref&amp;id=22969769" TargetMode="External"/><Relationship Id="rId35" Type="http://schemas.openxmlformats.org/officeDocument/2006/relationships/hyperlink" Target="http://dx.doi.org/10.3389/fimmu.2012.00277" TargetMode="External"/><Relationship Id="rId36" Type="http://schemas.openxmlformats.org/officeDocument/2006/relationships/hyperlink" Target="http://www.ncbi.nlm.nih.gov/sites/entrez?Db=pubmed&amp;Cmd=ShowDetailView&amp;TermToSearch=23024646" TargetMode="External"/><Relationship Id="rId37" Type="http://schemas.openxmlformats.org/officeDocument/2006/relationships/hyperlink" Target="http://eutils.ncbi.nlm.nih.gov/entrez/eutils/elink.fcgi?db=pubmed&amp;cmd=prlinks&amp;retmode=ref&amp;id=23024646" TargetMode="External"/><Relationship Id="rId38" Type="http://schemas.openxmlformats.org/officeDocument/2006/relationships/hyperlink" Target="http://dx.doi.org/10.3389/fimmu.2012.00288" TargetMode="External"/><Relationship Id="rId39" Type="http://schemas.openxmlformats.org/officeDocument/2006/relationships/hyperlink" Target="http://www.ncbi.nlm.nih.gov/sites/entrez?Db=pubmed&amp;Cmd=ShowDetailView&amp;TermToSearch=23483669" TargetMode="External"/><Relationship Id="rId40" Type="http://schemas.openxmlformats.org/officeDocument/2006/relationships/hyperlink" Target="http://eutils.ncbi.nlm.nih.gov/entrez/eutils/elink.fcgi?db=pubmed&amp;cmd=prlinks&amp;retmode=ref&amp;id=23483669" TargetMode="External"/><Relationship Id="rId41" Type="http://schemas.openxmlformats.org/officeDocument/2006/relationships/hyperlink" Target="http://dx.doi.org/10.3389/fimmu.2013.00050" TargetMode="External"/><Relationship Id="rId42" Type="http://schemas.openxmlformats.org/officeDocument/2006/relationships/hyperlink" Target="http://dx.doi.org/10.3389/fimmu.2013.00009" TargetMode="External"/><Relationship Id="rId43" Type="http://schemas.openxmlformats.org/officeDocument/2006/relationships/hyperlink" Target="http://dx.doi.org/10.3389/fimmu.2012.00286" TargetMode="External"/><Relationship Id="rId44" Type="http://schemas.openxmlformats.org/officeDocument/2006/relationships/hyperlink" Target="http://www.ncbi.nlm.nih.gov/sites/entrez?Db=pubmed&amp;Cmd=ShowDetailView&amp;TermToSearch=23109934" TargetMode="External"/><Relationship Id="rId45" Type="http://schemas.openxmlformats.org/officeDocument/2006/relationships/hyperlink" Target="http://eutils.ncbi.nlm.nih.gov/entrez/eutils/elink.fcgi?db=pubmed&amp;cmd=prlinks&amp;retmode=ref&amp;id=23109934" TargetMode="External"/><Relationship Id="rId46" Type="http://schemas.openxmlformats.org/officeDocument/2006/relationships/hyperlink" Target="http://dx.doi.org/10.3389/fimmu.2012.00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Mechanisms of sterile inflammation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of sterile inflammation</dc:title>
  <dc:subject>Health &amp; Medicine;</dc:subject>
  <dc:creator>AssignBuster</dc:creator>
  <cp:keywords/>
  <dc:description>The identification of the major molecular species in induction, development, and outcome of sterile inflammation, and the illumination of their mechan...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