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"https://assignbuster.com/determinants-of-capital-structure-in-developing-countries/"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Determinants of capital structure in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TABLE I. Country Factors The total debt ratio is defined as total liabilities divided by total liabilities plusnet worth. The long-term book debt ratio is defined as total liabilities minus current liabilities divided by total liabilities minus current liabilities plus net worth. The long-term market debt ratio is defined as total liabilities divided by total liabilities plus equity market value. The asset tangibility is measured by total assets less current assets divided by total assets; return on assets is defined as earnings before tax divided by total assets; business risk is measured as the standard deviation of the return on assets; market-to-book ratio is the market value of equity divided by the book value of equity. </w:t>
        <w:br/>
        <w:t xml:space="preserve">Nigeria </w:t>
        <w:br/>
        <w:t xml:space="preserve">South Africa </w:t>
        <w:br/>
        <w:t xml:space="preserve">Egypt </w:t>
        <w:br/>
        <w:t xml:space="preserve">Algeria </w:t>
        <w:br/>
        <w:t xml:space="preserve">Morocco </w:t>
        <w:br/>
        <w:t xml:space="preserve">Total liabilities </w:t>
        <w:br/>
        <w:t xml:space="preserve">9. 132B </w:t>
        <w:br/>
        <w:t xml:space="preserve">Net worth </w:t>
        <w:br/>
        <w:t xml:space="preserve">338. 1B </w:t>
        <w:br/>
        <w:t xml:space="preserve">Current liabilities </w:t>
        <w:br/>
        <w:t xml:space="preserve">52. 6M </w:t>
        <w:br/>
        <w:t xml:space="preserve">Equity market value </w:t>
        <w:br/>
        <w:t xml:space="preserve">5. 99B </w:t>
        <w:br/>
        <w:t xml:space="preserve">Total assets </w:t>
        <w:br/>
        <w:t xml:space="preserve">52. 6M </w:t>
        <w:br/>
        <w:t xml:space="preserve">Current assets </w:t>
        <w:br/>
        <w:t xml:space="preserve">580M </w:t>
        <w:br/>
        <w:t xml:space="preserve">Standard Deviation of the return on assets </w:t>
        <w:br/>
        <w:t xml:space="preserve">0. 28711 </w:t>
        <w:br/>
        <w:t xml:space="preserve">Market value of equity </w:t>
        <w:br/>
        <w:t xml:space="preserve">$86. 35B </w:t>
        <w:br/>
        <w:t xml:space="preserve">Book value of equity </w:t>
        <w:br/>
        <w:t xml:space="preserve">$143. 9B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https://assignbuster.com/determinants-of-capital-structure-in-developing-countries/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Determinants of capital structure in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Determinants of capital structure in developing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capital structure in developing countries</dc:title>
  <dc:subject>Business;</dc:subject>
  <dc:creator>AssignBuster</dc:creator>
  <cp:keywords/>
  <dc:description>The long-term market debt ratio is defined as total liabilities divided by total liabilities plus equity market value.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