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health implications of campylobacter spp. in canada and globally</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Rational for topic chosen </w:t>
      </w:r>
    </w:p>
    <w:p>
      <w:pPr>
        <w:pStyle w:val="TextBody"/>
        <w:bidi w:val="0"/>
        <w:spacing w:before="0" w:after="283"/>
        <w:jc w:val="start"/>
        <w:rPr/>
      </w:pPr>
      <w:r>
        <w:rPr/>
        <w:t xml:space="preserve">Introduction </w:t>
      </w:r>
    </w:p>
    <w:p>
      <w:pPr>
        <w:pStyle w:val="TextBody"/>
        <w:bidi w:val="0"/>
        <w:spacing w:before="0" w:after="283"/>
        <w:jc w:val="start"/>
        <w:rPr/>
      </w:pPr>
      <w:r>
        <w:rPr/>
        <w:t xml:space="preserve">Global regulations </w:t>
      </w:r>
    </w:p>
    <w:p>
      <w:pPr>
        <w:pStyle w:val="TextBody"/>
        <w:bidi w:val="0"/>
        <w:spacing w:before="0" w:after="283"/>
        <w:jc w:val="start"/>
        <w:rPr/>
      </w:pPr>
      <w:r>
        <w:rPr/>
        <w:t xml:space="preserve">Outbreaks linked to Campylobacter </w:t>
      </w:r>
    </w:p>
    <w:p>
      <w:pPr>
        <w:pStyle w:val="TextBody"/>
        <w:bidi w:val="0"/>
        <w:spacing w:before="0" w:after="283"/>
        <w:jc w:val="start"/>
        <w:rPr/>
      </w:pPr>
      <w:r>
        <w:rPr/>
        <w:t xml:space="preserve">Canada campylobacter outbreak </w:t>
      </w:r>
    </w:p>
    <w:p>
      <w:pPr>
        <w:pStyle w:val="TextBody"/>
        <w:bidi w:val="0"/>
        <w:spacing w:before="0" w:after="283"/>
        <w:jc w:val="start"/>
        <w:rPr/>
      </w:pPr>
      <w:r>
        <w:rPr/>
        <w:t xml:space="preserve">USA campylobacter outbreak </w:t>
      </w:r>
    </w:p>
    <w:p>
      <w:pPr>
        <w:pStyle w:val="TextBody"/>
        <w:bidi w:val="0"/>
        <w:spacing w:before="0" w:after="283"/>
        <w:jc w:val="start"/>
        <w:rPr/>
      </w:pPr>
      <w:r>
        <w:rPr/>
        <w:t xml:space="preserve">Other countries Campylobacter outbreak </w:t>
      </w:r>
    </w:p>
    <w:p>
      <w:pPr>
        <w:pStyle w:val="TextBody"/>
        <w:bidi w:val="0"/>
        <w:spacing w:before="0" w:after="283"/>
        <w:jc w:val="start"/>
        <w:rPr/>
      </w:pPr>
      <w:r>
        <w:rPr/>
        <w:t xml:space="preserve">The incidence of Campylobacter in the human (cases per 100, 000) population </w:t>
      </w:r>
    </w:p>
    <w:p>
      <w:pPr>
        <w:pStyle w:val="TextBody"/>
        <w:bidi w:val="0"/>
        <w:spacing w:before="0" w:after="283"/>
        <w:jc w:val="start"/>
        <w:rPr/>
      </w:pPr>
      <w:r>
        <w:rPr/>
        <w:t xml:space="preserve">Incidence of Campylobacter in foods </w:t>
      </w:r>
    </w:p>
    <w:p>
      <w:pPr>
        <w:pStyle w:val="TextBody"/>
        <w:bidi w:val="0"/>
        <w:spacing w:before="0" w:after="283"/>
        <w:jc w:val="start"/>
        <w:rPr/>
      </w:pPr>
      <w:r>
        <w:rPr/>
        <w:t xml:space="preserve">Sequelae linked with infection </w:t>
      </w:r>
    </w:p>
    <w:p>
      <w:pPr>
        <w:pStyle w:val="TextBody"/>
        <w:bidi w:val="0"/>
        <w:spacing w:before="0" w:after="283"/>
        <w:jc w:val="start"/>
        <w:rPr/>
      </w:pPr>
      <w:r>
        <w:rPr/>
        <w:t xml:space="preserve">Conclusions, recommendations and suggestions </w:t>
      </w:r>
    </w:p>
    <w:p>
      <w:pPr>
        <w:pStyle w:val="Heading2"/>
        <w:bidi w:val="0"/>
        <w:jc w:val="start"/>
        <w:rPr/>
      </w:pPr>
      <w:r>
        <w:rPr/>
        <w:t xml:space="preserve">References </w:t>
      </w:r>
    </w:p>
    <w:p>
      <w:pPr>
        <w:pStyle w:val="Heading2"/>
        <w:bidi w:val="0"/>
        <w:jc w:val="start"/>
        <w:rPr/>
      </w:pPr>
      <w:r>
        <w:rPr/>
        <w:t xml:space="preserve">Rational for topic chosen </w:t>
      </w:r>
    </w:p>
    <w:p>
      <w:pPr>
        <w:pStyle w:val="TextBody"/>
        <w:bidi w:val="0"/>
        <w:spacing w:before="0" w:after="283"/>
        <w:jc w:val="start"/>
        <w:rPr/>
      </w:pPr>
      <w:r>
        <w:rPr/>
        <w:t xml:space="preserve">The topic (The Public Health Implications of </w:t>
      </w:r>
      <w:r>
        <w:rPr>
          <w:rStyle w:val="Emphasis"/>
        </w:rPr>
        <w:t xml:space="preserve">Campylobacter </w:t>
      </w:r>
      <w:r>
        <w:rPr/>
        <w:t xml:space="preserve">spp. in Canada and globally) for my Final Research Paper was suggested by Dr. Jeffrey Farber. </w:t>
      </w:r>
    </w:p>
    <w:p>
      <w:pPr>
        <w:pStyle w:val="TextBody"/>
        <w:bidi w:val="0"/>
        <w:spacing w:before="0" w:after="283"/>
        <w:jc w:val="start"/>
        <w:rPr/>
      </w:pPr>
      <w:r>
        <w:rPr/>
        <w:t xml:space="preserve">During my previous courses, I did some projects and wrote papers in on other food microorganisms such as </w:t>
      </w:r>
      <w:r>
        <w:rPr>
          <w:rStyle w:val="Emphasis"/>
        </w:rPr>
        <w:t xml:space="preserve">Salmonella </w:t>
      </w:r>
      <w:r>
        <w:rPr/>
        <w:t xml:space="preserve">spp, </w:t>
      </w:r>
      <w:r>
        <w:rPr>
          <w:rStyle w:val="Emphasis"/>
        </w:rPr>
        <w:t xml:space="preserve">Listeria monocytogene </w:t>
      </w:r>
      <w:r>
        <w:rPr/>
        <w:t xml:space="preserve">, </w:t>
      </w:r>
      <w:r>
        <w:rPr>
          <w:rStyle w:val="Emphasis"/>
        </w:rPr>
        <w:t xml:space="preserve">E coli </w:t>
      </w:r>
      <w:r>
        <w:rPr/>
        <w:t xml:space="preserve">, and </w:t>
      </w:r>
      <w:r>
        <w:rPr>
          <w:rStyle w:val="Emphasis"/>
        </w:rPr>
        <w:t xml:space="preserve">pseudomonas </w:t>
      </w:r>
      <w:r>
        <w:rPr/>
        <w:t xml:space="preserve">spp. However, I didn’t get an opportunity to gain more knowledge of </w:t>
      </w:r>
      <w:r>
        <w:rPr>
          <w:rStyle w:val="Emphasis"/>
        </w:rPr>
        <w:t xml:space="preserve">Campylobacter </w:t>
      </w:r>
      <w:r>
        <w:rPr/>
        <w:t xml:space="preserve">spp </w:t>
      </w:r>
      <w:r>
        <w:rPr>
          <w:rStyle w:val="Emphasis"/>
        </w:rPr>
        <w:t xml:space="preserve">. </w:t>
      </w:r>
      <w:r>
        <w:rPr/>
        <w:t xml:space="preserve">I chose this topic for this assignment as it will be a great opportunity for me to know this bacterium in details and to know its implications on the public health in and Canada and internationally as it is consider one of the main pathogens that cause foodborne illness </w:t>
      </w:r>
    </w:p>
    <w:p>
      <w:pPr>
        <w:pStyle w:val="Heading2"/>
        <w:bidi w:val="0"/>
        <w:jc w:val="start"/>
        <w:rPr/>
      </w:pPr>
      <w:r>
        <w:rPr/>
        <w:t xml:space="preserve">Introduction </w:t>
      </w:r>
    </w:p>
    <w:p>
      <w:pPr>
        <w:pStyle w:val="TextBody"/>
        <w:bidi w:val="0"/>
        <w:spacing w:before="0" w:after="283"/>
        <w:jc w:val="start"/>
        <w:rPr/>
      </w:pPr>
      <w:r>
        <w:rPr/>
        <w:t xml:space="preserve">Campylobacter is considering number one bacteria that cause human gastroenteritis in the world (WHO, 2012). Campylobacter is a gram negative bacteria cause an illness called Campylobacteriosis. Most of the Campylobacter illness is due of the species which are Campylobacter jejuni and Campylobacter coli. Campylobacteriosis symptoms are fever, diarrhoea, malaise, vomiting, abdominal pain, and blood in faeces (Quetz et al., 2012). The symptoms of Campylobacteriosis start after 2 to 5 days of the infection and last in less than a week. Some people can get infected but without showing any symptoms. Other can have the symptoms back after they start feeling better (health link BC, 2017). Campylobacter spp. is considering a hard microorganism to identify and only C. jejuni can be easy isolate by using phenotypic markers. There is a new culture-independent diagnostic tests was introduced can better results on monitoring of disease trends in developed countries. If the price of these tests drop down, they can used it for presumptive diagnosis in the developing counties as well (WHO, 2012). </w:t>
      </w:r>
    </w:p>
    <w:p>
      <w:pPr>
        <w:pStyle w:val="TextBody"/>
        <w:bidi w:val="0"/>
        <w:spacing w:before="0" w:after="283"/>
        <w:jc w:val="start"/>
        <w:rPr/>
      </w:pPr>
      <w:r>
        <w:rPr/>
        <w:t xml:space="preserve">Food is considered the main source for spreading </w:t>
      </w:r>
      <w:r>
        <w:rPr>
          <w:rStyle w:val="Emphasis"/>
        </w:rPr>
        <w:t xml:space="preserve">Campylobacter </w:t>
      </w:r>
      <w:r>
        <w:rPr/>
        <w:t xml:space="preserve">while Chicken is considered the main food source for the Campylobacter contamination. USDA performed some studies and surveys on </w:t>
      </w:r>
      <w:r>
        <w:rPr>
          <w:rStyle w:val="Emphasis"/>
        </w:rPr>
        <w:t xml:space="preserve">Campylobacter </w:t>
      </w:r>
      <w:r>
        <w:rPr/>
        <w:t xml:space="preserve">contamination associated with raw chicken and they found more that 60% of the tested samples were positive for </w:t>
      </w:r>
      <w:r>
        <w:rPr>
          <w:rStyle w:val="Emphasis"/>
        </w:rPr>
        <w:t xml:space="preserve">Campylobacter </w:t>
      </w:r>
      <w:r>
        <w:rPr/>
        <w:t xml:space="preserve">. The main cause of the contamination came from the slaughter house by the contamination that happened to chicken carcasses with chicken faces (Marler Clark, 2018) </w:t>
      </w:r>
    </w:p>
    <w:p>
      <w:pPr>
        <w:pStyle w:val="TextBody"/>
        <w:bidi w:val="0"/>
        <w:spacing w:before="0" w:after="283"/>
        <w:jc w:val="start"/>
        <w:rPr/>
      </w:pPr>
      <w:r>
        <w:rPr>
          <w:rStyle w:val="Emphasis"/>
        </w:rPr>
        <w:t xml:space="preserve">Campylobacter </w:t>
      </w:r>
      <w:r>
        <w:rPr/>
        <w:t xml:space="preserve">considered the main pathogen that causes foodborne illness in United States. In 2006, there were 7512 cases of </w:t>
      </w:r>
      <w:r>
        <w:rPr>
          <w:rStyle w:val="Emphasis"/>
        </w:rPr>
        <w:t xml:space="preserve">Campylobacter </w:t>
      </w:r>
      <w:r>
        <w:rPr/>
        <w:t xml:space="preserve">infection comparing to 2009 which had 6033 cases of the same infection in United States. Some studies shows that the average number of </w:t>
      </w:r>
      <w:r>
        <w:rPr>
          <w:rStyle w:val="Emphasis"/>
        </w:rPr>
        <w:t xml:space="preserve">Campylobacter </w:t>
      </w:r>
      <w:r>
        <w:rPr/>
        <w:t xml:space="preserve">infection is 1000 cases per 100, 000 person in United States (Marler Clark, 2018) </w:t>
      </w:r>
    </w:p>
    <w:p>
      <w:pPr>
        <w:pStyle w:val="TextBody"/>
        <w:bidi w:val="0"/>
        <w:spacing w:before="0" w:after="283"/>
        <w:jc w:val="start"/>
        <w:rPr/>
      </w:pPr>
      <w:r>
        <w:rPr/>
        <w:t xml:space="preserve">According to Marler Clark website the food safety law firm, </w:t>
      </w:r>
      <w:r>
        <w:rPr>
          <w:rStyle w:val="Emphasis"/>
        </w:rPr>
        <w:t xml:space="preserve">Campylobacter </w:t>
      </w:r>
      <w:r>
        <w:rPr/>
        <w:t xml:space="preserve">spp. is responsible for many complications such as Guillain Barre Syndrome, a form of paralysis. In United States, around 9, 000 people develop GBS every year which cost the government between 0. 2 to 1. 8 billion dollar. The Reactive Arthritis symptoms appear after several weeks of the </w:t>
      </w:r>
      <w:r>
        <w:rPr>
          <w:rStyle w:val="Emphasis"/>
        </w:rPr>
        <w:t xml:space="preserve">Campylobacter </w:t>
      </w:r>
      <w:r>
        <w:rPr/>
        <w:t xml:space="preserve">infection (Marler Clark, 2018) </w:t>
      </w:r>
    </w:p>
    <w:p>
      <w:pPr>
        <w:pStyle w:val="TextBody"/>
        <w:bidi w:val="0"/>
        <w:spacing w:before="0" w:after="283"/>
        <w:jc w:val="start"/>
        <w:rPr/>
      </w:pPr>
      <w:r>
        <w:rPr/>
        <w:t xml:space="preserve">In many countries, Campylobacter is being isolated from patients 3 to 4 times more than any other bacterial pathogenic . In the developed countries, the reported cases of Campylobacteriosis is often goes beyond the reported cases of salmonellosis (WHO, 2012). </w:t>
      </w:r>
    </w:p>
    <w:p>
      <w:pPr>
        <w:pStyle w:val="TextBody"/>
        <w:bidi w:val="0"/>
        <w:spacing w:before="0" w:after="283"/>
        <w:jc w:val="start"/>
        <w:rPr/>
      </w:pPr>
      <w:r>
        <w:rPr/>
        <w:t xml:space="preserve">The Codex Alimentarius Commission committee hold several meeting to describe some guidelines for better control for </w:t>
      </w:r>
      <w:r>
        <w:rPr>
          <w:rStyle w:val="Emphasis"/>
        </w:rPr>
        <w:t xml:space="preserve">Campylobacter </w:t>
      </w:r>
      <w:r>
        <w:rPr/>
        <w:t xml:space="preserve">. Those guidelines are based on 3 tiers which are guidance based on good hygiene practices, hazard based control measures, and risk based control measures. WHO and FAO developed a web base tool to computes the residual risk on the processing diagram to assess the impact of a proposed control measure. The web base tool is available online on this link: http://www. mramodels. org/poultryRMTool (WHO, 2012). </w:t>
      </w:r>
    </w:p>
    <w:p>
      <w:pPr>
        <w:pStyle w:val="TextBody"/>
        <w:bidi w:val="0"/>
        <w:spacing w:before="0" w:after="283"/>
        <w:jc w:val="start"/>
        <w:rPr/>
      </w:pPr>
      <w:r>
        <w:rPr/>
        <w:t xml:space="preserve">According to (WHO, 2012), the true number of the incidence of Campylobacteriosis gastroenteritis is not well known and they are trying to find a better approach to collect this information. The Infectious Intestinal Disease (IID) studies in the United Kingdom estimated the number of the incidence to be 9. 3 per 1000 person in the United Kingdom for year 2008 and 2009. The Sensor study in the Netherlands estimated the number of the incidence to be 5. 8 per 1000 person in the Netherlands for year 2009. In the USA, the estimation for the Incidence of Campylobacteriosis was 1. 3 million cases in 2006 or 4. 4 per 1000 person (WHO, 2012). </w:t>
      </w:r>
    </w:p>
    <w:p>
      <w:pPr>
        <w:pStyle w:val="TextBody"/>
        <w:bidi w:val="0"/>
        <w:spacing w:before="0" w:after="283"/>
        <w:jc w:val="start"/>
        <w:rPr/>
      </w:pPr>
      <w:r>
        <w:rPr/>
        <w:t xml:space="preserve">Public health of Ontario advices individual to store their food at the right temperature, cook their food at the right temperature, separate raw and cooked food to prevent cross contamination, wash their hand after touching animals with soap or with alcohol base sanitizer (Public health of Ontario, 2018) </w:t>
      </w:r>
    </w:p>
    <w:p>
      <w:pPr>
        <w:pStyle w:val="Heading2"/>
        <w:bidi w:val="0"/>
        <w:jc w:val="start"/>
        <w:rPr/>
      </w:pPr>
      <w:r>
        <w:rPr/>
        <w:t xml:space="preserve">Global regulations </w:t>
      </w:r>
    </w:p>
    <w:p>
      <w:pPr>
        <w:pStyle w:val="TextBody"/>
        <w:bidi w:val="0"/>
        <w:spacing w:before="0" w:after="283"/>
        <w:jc w:val="start"/>
        <w:rPr/>
      </w:pPr>
      <w:r>
        <w:rPr/>
        <w:t xml:space="preserve">According to health Canada regulation for </w:t>
      </w:r>
      <w:r>
        <w:rPr>
          <w:rStyle w:val="Emphasis"/>
        </w:rPr>
        <w:t xml:space="preserve">Campylobacter </w:t>
      </w:r>
      <w:r>
        <w:rPr/>
        <w:t xml:space="preserve">spp </w:t>
      </w:r>
      <w:r>
        <w:rPr>
          <w:rStyle w:val="Emphasis"/>
        </w:rPr>
        <w:t xml:space="preserve">. </w:t>
      </w:r>
      <w:r>
        <w:rPr/>
        <w:t xml:space="preserve">limit, all RTE products must be free from </w:t>
      </w:r>
      <w:r>
        <w:rPr>
          <w:rStyle w:val="Emphasis"/>
        </w:rPr>
        <w:t xml:space="preserve">Campylobacter </w:t>
      </w:r>
      <w:r>
        <w:rPr/>
        <w:t xml:space="preserve">spp. detection. If </w:t>
      </w:r>
      <w:r>
        <w:rPr>
          <w:rStyle w:val="Emphasis"/>
        </w:rPr>
        <w:t xml:space="preserve">Campylobacter </w:t>
      </w:r>
      <w:r>
        <w:rPr/>
        <w:t xml:space="preserve">spp </w:t>
      </w:r>
      <w:r>
        <w:rPr>
          <w:rStyle w:val="Emphasis"/>
        </w:rPr>
        <w:t xml:space="preserve">. </w:t>
      </w:r>
      <w:r>
        <w:rPr/>
        <w:t xml:space="preserve">was detected on the products, immediate correct action must be taken(Health Canada, 2010) </w:t>
      </w:r>
    </w:p>
    <w:p>
      <w:pPr>
        <w:pStyle w:val="TextBody"/>
        <w:bidi w:val="0"/>
        <w:spacing w:before="0" w:after="283"/>
        <w:jc w:val="start"/>
        <w:rPr/>
      </w:pPr>
      <w:r>
        <w:rPr/>
        <w:t xml:space="preserve">According to Hong Kong Food and Environmental Hygiene Department, </w:t>
      </w:r>
      <w:r>
        <w:rPr>
          <w:rStyle w:val="Emphasis"/>
        </w:rPr>
        <w:t xml:space="preserve">Campylobacter </w:t>
      </w:r>
      <w:r>
        <w:rPr/>
        <w:t xml:space="preserve">spp. must not be detected in 25g in Ready to eat product. If </w:t>
      </w:r>
      <w:r>
        <w:rPr>
          <w:rStyle w:val="Emphasis"/>
        </w:rPr>
        <w:t xml:space="preserve">Campylobacter </w:t>
      </w:r>
      <w:r>
        <w:rPr/>
        <w:t xml:space="preserve">spp. is been detected, the product will be considered unacceptable(Centre for Food Safety, 2007) </w:t>
      </w:r>
    </w:p>
    <w:p>
      <w:pPr>
        <w:pStyle w:val="TextBody"/>
        <w:bidi w:val="0"/>
        <w:spacing w:before="0" w:after="283"/>
        <w:jc w:val="start"/>
        <w:rPr/>
      </w:pPr>
      <w:r>
        <w:rPr/>
        <w:t xml:space="preserve">Food Standards Australia New Zealand (FSANZ) has the same regulation for Campylobacter ssp. as Hong Kong Food and Environmental Hygiene Department(Food Standards Australia New Zealand, 2016) </w:t>
      </w:r>
    </w:p>
    <w:p>
      <w:pPr>
        <w:pStyle w:val="Heading2"/>
        <w:bidi w:val="0"/>
        <w:jc w:val="start"/>
        <w:rPr/>
      </w:pPr>
      <w:r>
        <w:rPr/>
        <w:t xml:space="preserve">Outbreaks linked to Campylobacter </w:t>
      </w:r>
    </w:p>
    <w:p>
      <w:pPr>
        <w:pStyle w:val="Heading3"/>
        <w:bidi w:val="0"/>
        <w:jc w:val="start"/>
        <w:rPr/>
      </w:pPr>
      <w:r>
        <w:rPr/>
        <w:t xml:space="preserve">Canada </w:t>
      </w:r>
      <w:r>
        <w:rPr>
          <w:rStyle w:val="Emphasis"/>
        </w:rPr>
        <w:t xml:space="preserve">campylobacter </w:t>
      </w:r>
      <w:r>
        <w:rPr/>
        <w:t xml:space="preserve">outbreak </w:t>
      </w:r>
    </w:p>
    <w:p>
      <w:pPr>
        <w:pStyle w:val="TextBody"/>
        <w:bidi w:val="0"/>
        <w:spacing w:before="0" w:after="283"/>
        <w:jc w:val="start"/>
        <w:rPr/>
      </w:pPr>
      <w:r>
        <w:rPr/>
        <w:t xml:space="preserve">In 2007, there was a </w:t>
      </w:r>
      <w:r>
        <w:rPr>
          <w:rStyle w:val="Emphasis"/>
        </w:rPr>
        <w:t xml:space="preserve">Campylobacter </w:t>
      </w:r>
      <w:r>
        <w:rPr/>
        <w:t xml:space="preserve">outbreak among mountain bikers in British Columbia, Canada linked to </w:t>
      </w:r>
      <w:r>
        <w:rPr>
          <w:rStyle w:val="Emphasis"/>
        </w:rPr>
        <w:t xml:space="preserve">Campylobacter jejuni </w:t>
      </w:r>
      <w:r>
        <w:rPr/>
        <w:t xml:space="preserve">in mud. More than 200 bikers got infected. The researchers linked the infection due of the contamination of the mud with animal feces (Healio, 2008) </w:t>
      </w:r>
    </w:p>
    <w:p>
      <w:pPr>
        <w:pStyle w:val="TextBody"/>
        <w:bidi w:val="0"/>
        <w:spacing w:before="0" w:after="283"/>
        <w:jc w:val="start"/>
        <w:rPr/>
      </w:pPr>
      <w:r>
        <w:rPr/>
        <w:t xml:space="preserve">In 1994, there was a </w:t>
      </w:r>
      <w:r>
        <w:rPr>
          <w:rStyle w:val="Emphasis"/>
        </w:rPr>
        <w:t xml:space="preserve">Campylobacter </w:t>
      </w:r>
      <w:r>
        <w:rPr/>
        <w:t xml:space="preserve">outbreak among Turkey farm workers (9 workers) in Ontario. Six of them reported eating while working, one of them report smoking while he was working, and 2 of them brought water in a container from home (no illness was reported from those 2 workers). No washing hand facility present in their working area. The root cause of the illness was due not following the GMP and cross contamination from the Turkey to their hands (Government of Canada, 1995). </w:t>
      </w:r>
    </w:p>
    <w:p>
      <w:pPr>
        <w:pStyle w:val="TextBody"/>
        <w:bidi w:val="0"/>
        <w:spacing w:before="0" w:after="283"/>
        <w:jc w:val="start"/>
        <w:rPr/>
      </w:pPr>
      <w:r>
        <w:rPr/>
        <w:t xml:space="preserve">In 2000, there was a waterborne outbreak of </w:t>
      </w:r>
      <w:r>
        <w:rPr>
          <w:rStyle w:val="Emphasis"/>
        </w:rPr>
        <w:t xml:space="preserve">Escherichia coli O157: H7 </w:t>
      </w:r>
      <w:r>
        <w:rPr/>
        <w:t xml:space="preserve">and </w:t>
      </w:r>
      <w:r>
        <w:rPr>
          <w:rStyle w:val="Emphasis"/>
        </w:rPr>
        <w:t xml:space="preserve">Campylobacter </w:t>
      </w:r>
      <w:r>
        <w:rPr/>
        <w:t xml:space="preserve">spp. in Walkerton, Ontario. The root cause of the contamination was linked to the pathogens from neighbouring cattle farms entry into the town water supply. The number of the cases was positive for Campylobacter spp. was 116 people and no death was reported (Clark et al., 2003). </w:t>
      </w:r>
    </w:p>
    <w:p>
      <w:pPr>
        <w:pStyle w:val="Heading3"/>
        <w:bidi w:val="0"/>
        <w:jc w:val="start"/>
        <w:rPr/>
      </w:pPr>
      <w:r>
        <w:rPr/>
        <w:t xml:space="preserve">USA </w:t>
      </w:r>
      <w:r>
        <w:rPr>
          <w:rStyle w:val="Emphasis"/>
        </w:rPr>
        <w:t xml:space="preserve">campylobacter </w:t>
      </w:r>
      <w:r>
        <w:rPr/>
        <w:t xml:space="preserve">outbreak </w:t>
      </w:r>
    </w:p>
    <w:p>
      <w:pPr>
        <w:pStyle w:val="TextBody"/>
        <w:bidi w:val="0"/>
        <w:spacing w:before="0" w:after="283"/>
        <w:jc w:val="start"/>
        <w:rPr/>
      </w:pPr>
      <w:r>
        <w:rPr/>
        <w:t xml:space="preserve">In 2018, there was an Outbreak of Multidrug Resistant </w:t>
      </w:r>
      <w:r>
        <w:rPr>
          <w:rStyle w:val="Emphasis"/>
        </w:rPr>
        <w:t xml:space="preserve">Campylobacter </w:t>
      </w:r>
      <w:r>
        <w:rPr/>
        <w:t xml:space="preserve">in 17 states in US. The outbreak was linked to Contact with puppies from Pet Stores. One hundred and thirteen cases were reported, 23 cases were hospitalized, but no death occurred (CDC, 2018). </w:t>
      </w:r>
    </w:p>
    <w:p>
      <w:pPr>
        <w:pStyle w:val="TextBody"/>
        <w:bidi w:val="0"/>
        <w:spacing w:before="0" w:after="283"/>
        <w:jc w:val="start"/>
        <w:rPr/>
      </w:pPr>
      <w:r>
        <w:rPr/>
        <w:t xml:space="preserve">There was another outbreak of </w:t>
      </w:r>
      <w:r>
        <w:rPr>
          <w:rStyle w:val="Emphasis"/>
        </w:rPr>
        <w:t xml:space="preserve">Campylobacter jejuni </w:t>
      </w:r>
      <w:r>
        <w:rPr/>
        <w:t xml:space="preserve">in Utah in 2014 linked to the consumption of raw milk. Ninety nine cases were reported to Utah Department of Health and half of the cases were children under 19 years old. Ten cases were hospitalized and one death case was occurred (CDC, 2018). </w:t>
      </w:r>
    </w:p>
    <w:p>
      <w:pPr>
        <w:pStyle w:val="TextBody"/>
        <w:bidi w:val="0"/>
        <w:spacing w:before="0" w:after="283"/>
        <w:jc w:val="start"/>
        <w:rPr/>
      </w:pPr>
      <w:r>
        <w:rPr/>
        <w:t xml:space="preserve">In October 2012, there was a </w:t>
      </w:r>
      <w:r>
        <w:rPr>
          <w:rStyle w:val="Emphasis"/>
        </w:rPr>
        <w:t xml:space="preserve">Campylobacter </w:t>
      </w:r>
      <w:r>
        <w:rPr/>
        <w:t xml:space="preserve">outbreak in Nevada linked to long distance Adventure Race. Many of the cases reported that they had their faces felt on the mud and heads submerged in surface water. Twenty two cases were reported and 20 of the 22 cases sought for medical care. All the cases were fully recovered after they hospitalized and treated with antibiotics (CDC, 2018). </w:t>
      </w:r>
    </w:p>
    <w:p>
      <w:pPr>
        <w:pStyle w:val="TextBody"/>
        <w:bidi w:val="0"/>
        <w:spacing w:before="0" w:after="283"/>
        <w:jc w:val="start"/>
        <w:rPr/>
      </w:pPr>
      <w:r>
        <w:rPr/>
        <w:t xml:space="preserve">On January 8, 2014, there was a Campylobacteriosis Outbreak linked to eating of raw chicken liver in Ohio and Oregon states restaurant. Three cases were reported and hospitalized. </w:t>
      </w:r>
      <w:r>
        <w:rPr>
          <w:rStyle w:val="Emphasis"/>
        </w:rPr>
        <w:t xml:space="preserve">Campylobacter jejuni </w:t>
      </w:r>
      <w:r>
        <w:rPr/>
        <w:t xml:space="preserve">was isolated from the fecal specimens and no death occurred among the 3 cases (CDC, 2018). </w:t>
      </w:r>
    </w:p>
    <w:p>
      <w:pPr>
        <w:pStyle w:val="TextBody"/>
        <w:bidi w:val="0"/>
        <w:spacing w:before="0" w:after="283"/>
        <w:jc w:val="start"/>
        <w:rPr/>
      </w:pPr>
      <w:r>
        <w:rPr/>
        <w:t xml:space="preserve">Bi-national outbreak (Mexico and United States) of Guillain–Barré syndrome linked to </w:t>
      </w:r>
      <w:r>
        <w:rPr>
          <w:rStyle w:val="Emphasis"/>
        </w:rPr>
        <w:t xml:space="preserve">Campylobacter jejuni </w:t>
      </w:r>
      <w:r>
        <w:rPr/>
        <w:t xml:space="preserve">infection in 2014. Guillain–Barré syndrome (GBS) usually happened after the infection of </w:t>
      </w:r>
      <w:r>
        <w:rPr>
          <w:rStyle w:val="Emphasis"/>
        </w:rPr>
        <w:t xml:space="preserve">Campylobacter jejuni </w:t>
      </w:r>
      <w:r>
        <w:rPr/>
        <w:t xml:space="preserve">. Twenty six cases involved in this outbreak (18 from Sonora, Mexico and 8 from Arizona, United States). The cases of GBS were linked to an outbreak of </w:t>
      </w:r>
      <w:r>
        <w:rPr>
          <w:rStyle w:val="Emphasis"/>
        </w:rPr>
        <w:t xml:space="preserve">C. jejuni </w:t>
      </w:r>
      <w:r>
        <w:rPr/>
        <w:t xml:space="preserve">from tap water (Jackson et al., 2014) </w:t>
      </w:r>
    </w:p>
    <w:p>
      <w:pPr>
        <w:pStyle w:val="Heading3"/>
        <w:bidi w:val="0"/>
        <w:jc w:val="start"/>
        <w:rPr/>
      </w:pPr>
      <w:r>
        <w:rPr/>
        <w:t xml:space="preserve">Other countries </w:t>
      </w:r>
      <w:r>
        <w:rPr>
          <w:rStyle w:val="Emphasis"/>
        </w:rPr>
        <w:t xml:space="preserve">Campylobacter </w:t>
      </w:r>
      <w:r>
        <w:rPr/>
        <w:t xml:space="preserve">outbreak </w:t>
      </w:r>
    </w:p>
    <w:p>
      <w:pPr>
        <w:pStyle w:val="TextBody"/>
        <w:bidi w:val="0"/>
        <w:spacing w:before="0" w:after="283"/>
        <w:jc w:val="start"/>
        <w:rPr/>
      </w:pPr>
      <w:r>
        <w:rPr/>
        <w:t xml:space="preserve">There were multiple outbreaks of </w:t>
      </w:r>
      <w:r>
        <w:rPr>
          <w:rStyle w:val="Emphasis"/>
        </w:rPr>
        <w:t xml:space="preserve">campylobacter </w:t>
      </w:r>
      <w:r>
        <w:rPr/>
        <w:t xml:space="preserve">in England and Wales happened in 2016. Some outbreaks involved only 3 reported cases and others involved up to 51 reported cases. No death occurred and most the cases were linked to eating Chicken or duck livers in restaurants, pubs, catering services, or school (public health England, 2018) </w:t>
      </w:r>
    </w:p>
    <w:p>
      <w:pPr>
        <w:pStyle w:val="TextBody"/>
        <w:bidi w:val="0"/>
        <w:spacing w:before="0" w:after="283"/>
        <w:jc w:val="start"/>
        <w:rPr/>
      </w:pPr>
      <w:r>
        <w:rPr/>
        <w:t xml:space="preserve">In 2012, there was a </w:t>
      </w:r>
      <w:r>
        <w:rPr>
          <w:rStyle w:val="Emphasis"/>
        </w:rPr>
        <w:t xml:space="preserve">Campylobacter </w:t>
      </w:r>
      <w:r>
        <w:rPr/>
        <w:t xml:space="preserve">outbreak in Adelaide, Australia linked to the food that been served in a birthday party at a restaurant. The number of the guests at the party was 57 and they believe the infection was associated with chicken liver pâté. Fifteen cases were reported but only 8 cases sought medical attention. Only 3 cases had confirmation of </w:t>
      </w:r>
      <w:r>
        <w:rPr>
          <w:rStyle w:val="Emphasis"/>
        </w:rPr>
        <w:t xml:space="preserve">Campylobacter </w:t>
      </w:r>
      <w:r>
        <w:rPr/>
        <w:t xml:space="preserve">infection from the laboratory and one case was hospitalized (Parry, Fearnley &amp; Denehy, 2012). </w:t>
      </w:r>
    </w:p>
    <w:p>
      <w:pPr>
        <w:pStyle w:val="TextBody"/>
        <w:bidi w:val="0"/>
        <w:spacing w:before="0" w:after="283"/>
        <w:jc w:val="start"/>
        <w:rPr/>
      </w:pPr>
      <w:r>
        <w:rPr/>
        <w:t xml:space="preserve">In 1999, an outbreak of </w:t>
      </w:r>
      <w:r>
        <w:rPr>
          <w:rStyle w:val="Emphasis"/>
        </w:rPr>
        <w:t xml:space="preserve">Campylobacter enteritis </w:t>
      </w:r>
      <w:r>
        <w:rPr/>
        <w:t xml:space="preserve">was occurred in a resort on north Queensland, Australia linked to untreated rainwater and food from the staff dining area. Twenty three cases were involved in the outbreak (7 confirmed and 16 probable). Only 3 cases required hospitalisation but no death occurred. After the investigation, they believe that there was faecal contamination in the rainwater tanks (Merritt, Miles &amp; Bates, 1999). </w:t>
      </w:r>
    </w:p>
    <w:p>
      <w:pPr>
        <w:pStyle w:val="TextBody"/>
        <w:bidi w:val="0"/>
        <w:spacing w:before="0" w:after="283"/>
        <w:jc w:val="start"/>
        <w:rPr/>
      </w:pPr>
      <w:r>
        <w:rPr/>
        <w:t xml:space="preserve">Between June 2007 to July 2007, a study was made on 36 cases reported of Guillain-Barre syndrome (GBS) on a town called Jilin located at north of China. All those cases were linked to previous infection of </w:t>
      </w:r>
      <w:r>
        <w:rPr>
          <w:rStyle w:val="Emphasis"/>
        </w:rPr>
        <w:t xml:space="preserve">Campylobacter jejuni </w:t>
      </w:r>
      <w:r>
        <w:rPr/>
        <w:t xml:space="preserve">(Zhang et al., 2010). </w:t>
      </w:r>
    </w:p>
    <w:p>
      <w:pPr>
        <w:pStyle w:val="Heading2"/>
        <w:bidi w:val="0"/>
        <w:jc w:val="start"/>
        <w:rPr/>
      </w:pPr>
      <w:r>
        <w:rPr/>
        <w:t xml:space="preserve">The incidence of </w:t>
      </w:r>
      <w:r>
        <w:rPr>
          <w:rStyle w:val="Emphasis"/>
        </w:rPr>
        <w:t xml:space="preserve">Campylobacter </w:t>
      </w:r>
      <w:r>
        <w:rPr/>
        <w:t xml:space="preserve">in the human (cases per 100, 000) population </w:t>
      </w:r>
    </w:p>
    <w:p>
      <w:pPr>
        <w:pStyle w:val="TextBody"/>
        <w:bidi w:val="0"/>
        <w:spacing w:before="0" w:after="283"/>
        <w:jc w:val="start"/>
        <w:rPr/>
      </w:pPr>
      <w:r>
        <w:rPr/>
        <w:t xml:space="preserve">Table #1 shows the number of </w:t>
      </w:r>
      <w:r>
        <w:rPr>
          <w:rStyle w:val="Emphasis"/>
        </w:rPr>
        <w:t xml:space="preserve">Campylobacter </w:t>
      </w:r>
      <w:r>
        <w:rPr/>
        <w:t xml:space="preserve">incidence in England and Wales from2007 to 2016 (public health England, 2018) </w:t>
      </w:r>
    </w:p>
    <w:tbl>
      <w:tblPr>
        <w:tblW w:w="7095" w:type="dxa"/>
        <w:jc w:val="start"/>
        <w:tblInd w:w="0" w:type="dxa"/>
        <w:tblLayout w:type="fixed"/>
        <w:tblCellMar>
          <w:top w:w="28" w:type="dxa"/>
          <w:start w:w="28" w:type="dxa"/>
          <w:bottom w:w="28" w:type="dxa"/>
          <w:end w:w="28" w:type="dxa"/>
        </w:tblCellMar>
      </w:tblPr>
      <w:tblGrid>
        <w:gridCol w:w="651"/>
        <w:gridCol w:w="2635"/>
        <w:gridCol w:w="3809"/>
      </w:tblGrid>
      <w:tr>
        <w:trPr/>
        <w:tc>
          <w:tcPr>
            <w:tcW w:w="651" w:type="dxa"/>
            <w:tcBorders/>
            <w:vAlign w:val="center"/>
          </w:tcPr>
          <w:p>
            <w:pPr>
              <w:pStyle w:val="TableContents"/>
              <w:bidi w:val="0"/>
              <w:spacing w:before="0" w:after="283"/>
              <w:jc w:val="start"/>
              <w:rPr/>
            </w:pPr>
            <w:r>
              <w:rPr/>
              <w:t xml:space="preserve">Year </w:t>
            </w:r>
          </w:p>
        </w:tc>
        <w:tc>
          <w:tcPr>
            <w:tcW w:w="2635" w:type="dxa"/>
            <w:tcBorders/>
            <w:vAlign w:val="center"/>
          </w:tcPr>
          <w:p>
            <w:pPr>
              <w:pStyle w:val="TableContents"/>
              <w:bidi w:val="0"/>
              <w:spacing w:before="0" w:after="283"/>
              <w:jc w:val="start"/>
              <w:rPr/>
            </w:pPr>
            <w:r>
              <w:rPr/>
              <w:t xml:space="preserve">Number of laboratory reports </w:t>
            </w:r>
          </w:p>
        </w:tc>
        <w:tc>
          <w:tcPr>
            <w:tcW w:w="3809" w:type="dxa"/>
            <w:tcBorders/>
            <w:vAlign w:val="center"/>
          </w:tcPr>
          <w:p>
            <w:pPr>
              <w:pStyle w:val="TableContents"/>
              <w:bidi w:val="0"/>
              <w:spacing w:before="0" w:after="283"/>
              <w:jc w:val="start"/>
              <w:rPr/>
            </w:pPr>
            <w:r>
              <w:rPr/>
              <w:t xml:space="preserve">Laboratory reports per 100, 000 population </w:t>
            </w:r>
          </w:p>
        </w:tc>
      </w:tr>
      <w:tr>
        <w:trPr/>
        <w:tc>
          <w:tcPr>
            <w:tcW w:w="651" w:type="dxa"/>
            <w:tcBorders/>
            <w:vAlign w:val="center"/>
          </w:tcPr>
          <w:p>
            <w:pPr>
              <w:pStyle w:val="TableContents"/>
              <w:bidi w:val="0"/>
              <w:spacing w:before="0" w:after="283"/>
              <w:jc w:val="start"/>
              <w:rPr/>
            </w:pPr>
            <w:r>
              <w:rPr/>
              <w:t xml:space="preserve">2007 </w:t>
            </w:r>
          </w:p>
        </w:tc>
        <w:tc>
          <w:tcPr>
            <w:tcW w:w="2635" w:type="dxa"/>
            <w:tcBorders/>
            <w:vAlign w:val="center"/>
          </w:tcPr>
          <w:p>
            <w:pPr>
              <w:pStyle w:val="TableContents"/>
              <w:bidi w:val="0"/>
              <w:spacing w:before="0" w:after="283"/>
              <w:jc w:val="start"/>
              <w:rPr/>
            </w:pPr>
            <w:r>
              <w:rPr/>
              <w:t xml:space="preserve">51831 </w:t>
            </w:r>
          </w:p>
        </w:tc>
        <w:tc>
          <w:tcPr>
            <w:tcW w:w="3809" w:type="dxa"/>
            <w:tcBorders/>
            <w:vAlign w:val="center"/>
          </w:tcPr>
          <w:p>
            <w:pPr>
              <w:pStyle w:val="TableContents"/>
              <w:bidi w:val="0"/>
              <w:spacing w:before="0" w:after="283"/>
              <w:jc w:val="start"/>
              <w:rPr/>
            </w:pPr>
            <w:r>
              <w:rPr/>
              <w:t xml:space="preserve">95. 30 </w:t>
            </w:r>
          </w:p>
        </w:tc>
      </w:tr>
      <w:tr>
        <w:trPr/>
        <w:tc>
          <w:tcPr>
            <w:tcW w:w="651" w:type="dxa"/>
            <w:tcBorders/>
            <w:vAlign w:val="center"/>
          </w:tcPr>
          <w:p>
            <w:pPr>
              <w:pStyle w:val="TableContents"/>
              <w:bidi w:val="0"/>
              <w:spacing w:before="0" w:after="283"/>
              <w:jc w:val="start"/>
              <w:rPr/>
            </w:pPr>
            <w:r>
              <w:rPr/>
              <w:t xml:space="preserve">2008 </w:t>
            </w:r>
          </w:p>
        </w:tc>
        <w:tc>
          <w:tcPr>
            <w:tcW w:w="2635" w:type="dxa"/>
            <w:tcBorders/>
            <w:vAlign w:val="center"/>
          </w:tcPr>
          <w:p>
            <w:pPr>
              <w:pStyle w:val="TableContents"/>
              <w:bidi w:val="0"/>
              <w:spacing w:before="0" w:after="283"/>
              <w:jc w:val="start"/>
              <w:rPr/>
            </w:pPr>
            <w:r>
              <w:rPr/>
              <w:t xml:space="preserve">49891 </w:t>
            </w:r>
          </w:p>
        </w:tc>
        <w:tc>
          <w:tcPr>
            <w:tcW w:w="3809" w:type="dxa"/>
            <w:tcBorders/>
            <w:vAlign w:val="center"/>
          </w:tcPr>
          <w:p>
            <w:pPr>
              <w:pStyle w:val="TableContents"/>
              <w:bidi w:val="0"/>
              <w:spacing w:before="0" w:after="283"/>
              <w:jc w:val="start"/>
              <w:rPr/>
            </w:pPr>
            <w:r>
              <w:rPr/>
              <w:t xml:space="preserve">90. 97 </w:t>
            </w:r>
          </w:p>
        </w:tc>
      </w:tr>
      <w:tr>
        <w:trPr/>
        <w:tc>
          <w:tcPr>
            <w:tcW w:w="651" w:type="dxa"/>
            <w:tcBorders/>
            <w:vAlign w:val="center"/>
          </w:tcPr>
          <w:p>
            <w:pPr>
              <w:pStyle w:val="TableContents"/>
              <w:bidi w:val="0"/>
              <w:spacing w:before="0" w:after="283"/>
              <w:jc w:val="start"/>
              <w:rPr/>
            </w:pPr>
            <w:r>
              <w:rPr/>
              <w:t xml:space="preserve">2009 </w:t>
            </w:r>
          </w:p>
        </w:tc>
        <w:tc>
          <w:tcPr>
            <w:tcW w:w="2635" w:type="dxa"/>
            <w:tcBorders/>
            <w:vAlign w:val="center"/>
          </w:tcPr>
          <w:p>
            <w:pPr>
              <w:pStyle w:val="TableContents"/>
              <w:bidi w:val="0"/>
              <w:spacing w:before="0" w:after="283"/>
              <w:jc w:val="start"/>
              <w:rPr/>
            </w:pPr>
            <w:r>
              <w:rPr/>
              <w:t xml:space="preserve">57685 </w:t>
            </w:r>
          </w:p>
        </w:tc>
        <w:tc>
          <w:tcPr>
            <w:tcW w:w="3809" w:type="dxa"/>
            <w:tcBorders/>
            <w:vAlign w:val="center"/>
          </w:tcPr>
          <w:p>
            <w:pPr>
              <w:pStyle w:val="TableContents"/>
              <w:bidi w:val="0"/>
              <w:spacing w:before="0" w:after="283"/>
              <w:jc w:val="start"/>
              <w:rPr/>
            </w:pPr>
            <w:r>
              <w:rPr/>
              <w:t xml:space="preserve">104. 44 </w:t>
            </w:r>
          </w:p>
        </w:tc>
      </w:tr>
      <w:tr>
        <w:trPr/>
        <w:tc>
          <w:tcPr>
            <w:tcW w:w="651" w:type="dxa"/>
            <w:tcBorders/>
            <w:vAlign w:val="center"/>
          </w:tcPr>
          <w:p>
            <w:pPr>
              <w:pStyle w:val="TableContents"/>
              <w:bidi w:val="0"/>
              <w:spacing w:before="0" w:after="283"/>
              <w:jc w:val="start"/>
              <w:rPr/>
            </w:pPr>
            <w:r>
              <w:rPr/>
              <w:t xml:space="preserve">2010 </w:t>
            </w:r>
          </w:p>
        </w:tc>
        <w:tc>
          <w:tcPr>
            <w:tcW w:w="2635" w:type="dxa"/>
            <w:tcBorders/>
            <w:vAlign w:val="center"/>
          </w:tcPr>
          <w:p>
            <w:pPr>
              <w:pStyle w:val="TableContents"/>
              <w:bidi w:val="0"/>
              <w:spacing w:before="0" w:after="283"/>
              <w:jc w:val="start"/>
              <w:rPr/>
            </w:pPr>
            <w:r>
              <w:rPr/>
              <w:t xml:space="preserve">62588 </w:t>
            </w:r>
          </w:p>
        </w:tc>
        <w:tc>
          <w:tcPr>
            <w:tcW w:w="3809" w:type="dxa"/>
            <w:tcBorders/>
            <w:vAlign w:val="center"/>
          </w:tcPr>
          <w:p>
            <w:pPr>
              <w:pStyle w:val="TableContents"/>
              <w:bidi w:val="0"/>
              <w:spacing w:before="0" w:after="283"/>
              <w:jc w:val="start"/>
              <w:rPr/>
            </w:pPr>
            <w:r>
              <w:rPr/>
              <w:t xml:space="preserve">112. 38 </w:t>
            </w:r>
          </w:p>
        </w:tc>
      </w:tr>
      <w:tr>
        <w:trPr/>
        <w:tc>
          <w:tcPr>
            <w:tcW w:w="651" w:type="dxa"/>
            <w:tcBorders/>
            <w:vAlign w:val="center"/>
          </w:tcPr>
          <w:p>
            <w:pPr>
              <w:pStyle w:val="TableContents"/>
              <w:bidi w:val="0"/>
              <w:spacing w:before="0" w:after="283"/>
              <w:jc w:val="start"/>
              <w:rPr/>
            </w:pPr>
            <w:r>
              <w:rPr/>
              <w:t xml:space="preserve">2011 </w:t>
            </w:r>
          </w:p>
        </w:tc>
        <w:tc>
          <w:tcPr>
            <w:tcW w:w="2635" w:type="dxa"/>
            <w:tcBorders/>
            <w:vAlign w:val="center"/>
          </w:tcPr>
          <w:p>
            <w:pPr>
              <w:pStyle w:val="TableContents"/>
              <w:bidi w:val="0"/>
              <w:spacing w:before="0" w:after="283"/>
              <w:jc w:val="start"/>
              <w:rPr/>
            </w:pPr>
            <w:r>
              <w:rPr/>
              <w:t xml:space="preserve">64527 </w:t>
            </w:r>
          </w:p>
        </w:tc>
        <w:tc>
          <w:tcPr>
            <w:tcW w:w="3809" w:type="dxa"/>
            <w:tcBorders/>
            <w:vAlign w:val="center"/>
          </w:tcPr>
          <w:p>
            <w:pPr>
              <w:pStyle w:val="TableContents"/>
              <w:bidi w:val="0"/>
              <w:spacing w:before="0" w:after="283"/>
              <w:jc w:val="start"/>
              <w:rPr/>
            </w:pPr>
            <w:r>
              <w:rPr/>
              <w:t xml:space="preserve">114. 88 </w:t>
            </w:r>
          </w:p>
        </w:tc>
      </w:tr>
      <w:tr>
        <w:trPr/>
        <w:tc>
          <w:tcPr>
            <w:tcW w:w="651" w:type="dxa"/>
            <w:tcBorders/>
            <w:vAlign w:val="center"/>
          </w:tcPr>
          <w:p>
            <w:pPr>
              <w:pStyle w:val="TableContents"/>
              <w:bidi w:val="0"/>
              <w:spacing w:before="0" w:after="283"/>
              <w:jc w:val="start"/>
              <w:rPr/>
            </w:pPr>
            <w:r>
              <w:rPr/>
              <w:t xml:space="preserve">2012 </w:t>
            </w:r>
          </w:p>
        </w:tc>
        <w:tc>
          <w:tcPr>
            <w:tcW w:w="2635" w:type="dxa"/>
            <w:tcBorders/>
            <w:vAlign w:val="center"/>
          </w:tcPr>
          <w:p>
            <w:pPr>
              <w:pStyle w:val="TableContents"/>
              <w:bidi w:val="0"/>
              <w:spacing w:before="0" w:after="283"/>
              <w:jc w:val="start"/>
              <w:rPr/>
            </w:pPr>
            <w:r>
              <w:rPr/>
              <w:t xml:space="preserve">65044 </w:t>
            </w:r>
          </w:p>
        </w:tc>
        <w:tc>
          <w:tcPr>
            <w:tcW w:w="3809" w:type="dxa"/>
            <w:tcBorders/>
            <w:vAlign w:val="center"/>
          </w:tcPr>
          <w:p>
            <w:pPr>
              <w:pStyle w:val="TableContents"/>
              <w:bidi w:val="0"/>
              <w:spacing w:before="0" w:after="283"/>
              <w:jc w:val="start"/>
              <w:rPr/>
            </w:pPr>
            <w:r>
              <w:rPr/>
              <w:t xml:space="preserve">114. 98 </w:t>
            </w:r>
          </w:p>
        </w:tc>
      </w:tr>
      <w:tr>
        <w:trPr/>
        <w:tc>
          <w:tcPr>
            <w:tcW w:w="651" w:type="dxa"/>
            <w:tcBorders/>
            <w:vAlign w:val="center"/>
          </w:tcPr>
          <w:p>
            <w:pPr>
              <w:pStyle w:val="TableContents"/>
              <w:bidi w:val="0"/>
              <w:spacing w:before="0" w:after="283"/>
              <w:jc w:val="start"/>
              <w:rPr/>
            </w:pPr>
            <w:r>
              <w:rPr/>
              <w:t xml:space="preserve">2013 </w:t>
            </w:r>
          </w:p>
        </w:tc>
        <w:tc>
          <w:tcPr>
            <w:tcW w:w="2635" w:type="dxa"/>
            <w:tcBorders/>
            <w:vAlign w:val="center"/>
          </w:tcPr>
          <w:p>
            <w:pPr>
              <w:pStyle w:val="TableContents"/>
              <w:bidi w:val="0"/>
              <w:spacing w:before="0" w:after="283"/>
              <w:jc w:val="start"/>
              <w:rPr/>
            </w:pPr>
            <w:r>
              <w:rPr/>
              <w:t xml:space="preserve">59040 </w:t>
            </w:r>
          </w:p>
        </w:tc>
        <w:tc>
          <w:tcPr>
            <w:tcW w:w="3809" w:type="dxa"/>
            <w:tcBorders/>
            <w:vAlign w:val="center"/>
          </w:tcPr>
          <w:p>
            <w:pPr>
              <w:pStyle w:val="TableContents"/>
              <w:bidi w:val="0"/>
              <w:spacing w:before="0" w:after="283"/>
              <w:jc w:val="start"/>
              <w:rPr/>
            </w:pPr>
            <w:r>
              <w:rPr/>
              <w:t xml:space="preserve">103. 67 </w:t>
            </w:r>
          </w:p>
        </w:tc>
      </w:tr>
      <w:tr>
        <w:trPr/>
        <w:tc>
          <w:tcPr>
            <w:tcW w:w="651" w:type="dxa"/>
            <w:tcBorders/>
            <w:vAlign w:val="center"/>
          </w:tcPr>
          <w:p>
            <w:pPr>
              <w:pStyle w:val="TableContents"/>
              <w:bidi w:val="0"/>
              <w:spacing w:before="0" w:after="283"/>
              <w:jc w:val="start"/>
              <w:rPr/>
            </w:pPr>
            <w:r>
              <w:rPr/>
              <w:t xml:space="preserve">2014 </w:t>
            </w:r>
          </w:p>
        </w:tc>
        <w:tc>
          <w:tcPr>
            <w:tcW w:w="2635" w:type="dxa"/>
            <w:tcBorders/>
            <w:vAlign w:val="center"/>
          </w:tcPr>
          <w:p>
            <w:pPr>
              <w:pStyle w:val="TableContents"/>
              <w:bidi w:val="0"/>
              <w:spacing w:before="0" w:after="283"/>
              <w:jc w:val="start"/>
              <w:rPr/>
            </w:pPr>
            <w:r>
              <w:rPr/>
              <w:t xml:space="preserve">62494 </w:t>
            </w:r>
          </w:p>
        </w:tc>
        <w:tc>
          <w:tcPr>
            <w:tcW w:w="3809" w:type="dxa"/>
            <w:tcBorders/>
            <w:vAlign w:val="center"/>
          </w:tcPr>
          <w:p>
            <w:pPr>
              <w:pStyle w:val="TableContents"/>
              <w:bidi w:val="0"/>
              <w:spacing w:before="0" w:after="283"/>
              <w:jc w:val="start"/>
              <w:rPr/>
            </w:pPr>
            <w:r>
              <w:rPr/>
              <w:t xml:space="preserve">108. 86 </w:t>
            </w:r>
          </w:p>
        </w:tc>
      </w:tr>
      <w:tr>
        <w:trPr/>
        <w:tc>
          <w:tcPr>
            <w:tcW w:w="651" w:type="dxa"/>
            <w:tcBorders/>
            <w:vAlign w:val="center"/>
          </w:tcPr>
          <w:p>
            <w:pPr>
              <w:pStyle w:val="TableContents"/>
              <w:bidi w:val="0"/>
              <w:spacing w:before="0" w:after="283"/>
              <w:jc w:val="start"/>
              <w:rPr/>
            </w:pPr>
            <w:r>
              <w:rPr/>
              <w:t xml:space="preserve">2015 </w:t>
            </w:r>
          </w:p>
        </w:tc>
        <w:tc>
          <w:tcPr>
            <w:tcW w:w="2635" w:type="dxa"/>
            <w:tcBorders/>
            <w:vAlign w:val="center"/>
          </w:tcPr>
          <w:p>
            <w:pPr>
              <w:pStyle w:val="TableContents"/>
              <w:bidi w:val="0"/>
              <w:spacing w:before="0" w:after="283"/>
              <w:jc w:val="start"/>
              <w:rPr/>
            </w:pPr>
            <w:r>
              <w:rPr/>
              <w:t xml:space="preserve">55697 </w:t>
            </w:r>
          </w:p>
        </w:tc>
        <w:tc>
          <w:tcPr>
            <w:tcW w:w="3809" w:type="dxa"/>
            <w:tcBorders/>
            <w:vAlign w:val="center"/>
          </w:tcPr>
          <w:p>
            <w:pPr>
              <w:pStyle w:val="TableContents"/>
              <w:bidi w:val="0"/>
              <w:spacing w:before="0" w:after="283"/>
              <w:jc w:val="start"/>
              <w:rPr/>
            </w:pPr>
            <w:r>
              <w:rPr/>
              <w:t xml:space="preserve">96. 22 </w:t>
            </w:r>
          </w:p>
        </w:tc>
      </w:tr>
      <w:tr>
        <w:trPr/>
        <w:tc>
          <w:tcPr>
            <w:tcW w:w="651" w:type="dxa"/>
            <w:tcBorders/>
            <w:vAlign w:val="center"/>
          </w:tcPr>
          <w:p>
            <w:pPr>
              <w:pStyle w:val="TableContents"/>
              <w:bidi w:val="0"/>
              <w:spacing w:before="0" w:after="283"/>
              <w:jc w:val="start"/>
              <w:rPr/>
            </w:pPr>
            <w:r>
              <w:rPr/>
              <w:t xml:space="preserve">2016 </w:t>
            </w:r>
          </w:p>
        </w:tc>
        <w:tc>
          <w:tcPr>
            <w:tcW w:w="2635" w:type="dxa"/>
            <w:tcBorders/>
            <w:vAlign w:val="center"/>
          </w:tcPr>
          <w:p>
            <w:pPr>
              <w:pStyle w:val="TableContents"/>
              <w:bidi w:val="0"/>
              <w:spacing w:before="0" w:after="283"/>
              <w:jc w:val="start"/>
              <w:rPr/>
            </w:pPr>
            <w:r>
              <w:rPr/>
              <w:t xml:space="preserve">52381 </w:t>
            </w:r>
          </w:p>
        </w:tc>
        <w:tc>
          <w:tcPr>
            <w:tcW w:w="3809" w:type="dxa"/>
            <w:tcBorders/>
            <w:vAlign w:val="center"/>
          </w:tcPr>
          <w:p>
            <w:pPr>
              <w:pStyle w:val="TableContents"/>
              <w:bidi w:val="0"/>
              <w:spacing w:before="0" w:after="283"/>
              <w:jc w:val="start"/>
              <w:rPr/>
            </w:pPr>
            <w:r>
              <w:rPr/>
              <w:t xml:space="preserve">89. 72 </w:t>
            </w:r>
          </w:p>
        </w:tc>
      </w:tr>
    </w:tbl>
    <w:p>
      <w:pPr>
        <w:pStyle w:val="TextBody"/>
        <w:bidi w:val="0"/>
        <w:spacing w:before="0" w:after="283"/>
        <w:jc w:val="start"/>
        <w:rPr/>
      </w:pPr>
      <w:r>
        <w:rPr/>
        <w:t xml:space="preserve">Table #1: </w:t>
      </w:r>
    </w:p>
    <w:p>
      <w:pPr>
        <w:pStyle w:val="TextBody"/>
        <w:bidi w:val="0"/>
        <w:spacing w:before="0" w:after="283"/>
        <w:jc w:val="start"/>
        <w:rPr/>
      </w:pPr>
      <w:r>
        <w:rPr/>
        <w:t xml:space="preserve">In 2009, the incidence of </w:t>
      </w:r>
      <w:r>
        <w:rPr>
          <w:rStyle w:val="Emphasis"/>
        </w:rPr>
        <w:t xml:space="preserve">Campylobacter </w:t>
      </w:r>
      <w:r>
        <w:rPr/>
        <w:t xml:space="preserve">in the human in the 27 European Union members was from 29. 9 to 13, 500 per 100, 000 populations. Bulgaria had the highest score and Finland &amp; Sweden had the lower score of the </w:t>
      </w:r>
      <w:r>
        <w:rPr>
          <w:rStyle w:val="Emphasis"/>
        </w:rPr>
        <w:t xml:space="preserve">Campylobacter </w:t>
      </w:r>
      <w:r>
        <w:rPr/>
        <w:t xml:space="preserve">incidence (Kaakoush et al., 2015) </w:t>
      </w:r>
    </w:p>
    <w:p>
      <w:pPr>
        <w:pStyle w:val="TextBody"/>
        <w:bidi w:val="0"/>
        <w:spacing w:before="0" w:after="283"/>
        <w:jc w:val="start"/>
        <w:rPr/>
      </w:pPr>
      <w:r>
        <w:rPr/>
        <w:t xml:space="preserve">The annual national incidence of </w:t>
      </w:r>
      <w:r>
        <w:rPr>
          <w:rStyle w:val="Emphasis"/>
        </w:rPr>
        <w:t xml:space="preserve">Campylobacter </w:t>
      </w:r>
      <w:r>
        <w:rPr/>
        <w:t xml:space="preserve">in Australia from 2007 to 2011 is between 104. 8 and 117. 3 per 100, 000 populations excluding New South Wales, Australia. However, they believe that the real number of </w:t>
      </w:r>
      <w:r>
        <w:rPr>
          <w:rStyle w:val="Emphasis"/>
        </w:rPr>
        <w:t xml:space="preserve">Campylobacter </w:t>
      </w:r>
      <w:r>
        <w:rPr/>
        <w:t xml:space="preserve">incidence is higher due to most of the cases of infection not being reported (Parry, Fearnley &amp; Denehy, 2012). </w:t>
      </w:r>
    </w:p>
    <w:p>
      <w:pPr>
        <w:pStyle w:val="TextBody"/>
        <w:bidi w:val="0"/>
        <w:spacing w:before="0" w:after="283"/>
        <w:jc w:val="start"/>
        <w:rPr/>
      </w:pPr>
      <w:r>
        <w:rPr/>
        <w:t xml:space="preserve">The table below (table #2) shows the rates of campylobacteriosis per 100, 000 populations as reported to the National Notifiable Disease Summary program (NDRS) and the National Enteric Surveillance Program (NESP) by province/territory from year of 2000 to year of 2004 (Public Health Agency of Canada, 2009) </w:t>
      </w:r>
    </w:p>
    <w:tbl>
      <w:tblPr>
        <w:tblW w:w="7095" w:type="dxa"/>
        <w:jc w:val="start"/>
        <w:tblInd w:w="0" w:type="dxa"/>
        <w:tblLayout w:type="fixed"/>
        <w:tblCellMar>
          <w:top w:w="28" w:type="dxa"/>
          <w:start w:w="28" w:type="dxa"/>
          <w:bottom w:w="28" w:type="dxa"/>
          <w:end w:w="28" w:type="dxa"/>
        </w:tblCellMar>
      </w:tblPr>
      <w:tblGrid>
        <w:gridCol w:w="1081"/>
        <w:gridCol w:w="586"/>
        <w:gridCol w:w="586"/>
        <w:gridCol w:w="586"/>
        <w:gridCol w:w="586"/>
        <w:gridCol w:w="586"/>
        <w:gridCol w:w="109"/>
        <w:gridCol w:w="586"/>
        <w:gridCol w:w="586"/>
        <w:gridCol w:w="586"/>
        <w:gridCol w:w="586"/>
        <w:gridCol w:w="631"/>
      </w:tblGrid>
      <w:tr>
        <w:trPr/>
        <w:tc>
          <w:tcPr>
            <w:tcW w:w="1081" w:type="dxa"/>
            <w:tcBorders/>
            <w:vAlign w:val="center"/>
          </w:tcPr>
          <w:p>
            <w:pPr>
              <w:pStyle w:val="TableContents"/>
              <w:bidi w:val="0"/>
              <w:spacing w:before="0" w:after="283"/>
              <w:jc w:val="start"/>
              <w:rPr/>
            </w:pPr>
            <w:r>
              <w:rPr/>
              <w:t xml:space="preserve">Table #2: </w:t>
            </w:r>
          </w:p>
        </w:tc>
        <w:tc>
          <w:tcPr>
            <w:tcW w:w="2930" w:type="dxa"/>
            <w:gridSpan w:val="5"/>
            <w:tcBorders/>
            <w:vAlign w:val="center"/>
          </w:tcPr>
          <w:p>
            <w:pPr>
              <w:pStyle w:val="TableContents"/>
              <w:bidi w:val="0"/>
              <w:spacing w:before="0" w:after="283"/>
              <w:jc w:val="start"/>
              <w:rPr/>
            </w:pPr>
            <w:r>
              <w:rPr/>
              <w:t xml:space="preserve">NESP </w:t>
              <w:br/>
              <w:t xml:space="preserve">Rate (per 100 000 population) </w:t>
            </w:r>
          </w:p>
        </w:tc>
        <w:tc>
          <w:tcPr>
            <w:tcW w:w="109" w:type="dxa"/>
            <w:vMerge w:val="restart"/>
            <w:tcBorders/>
            <w:vAlign w:val="center"/>
          </w:tcPr>
          <w:p>
            <w:pPr>
              <w:pStyle w:val="TableContents"/>
              <w:bidi w:val="0"/>
              <w:spacing w:before="0" w:after="283"/>
              <w:jc w:val="start"/>
              <w:rPr>
                <w:sz w:val="4"/>
                <w:szCs w:val="4"/>
              </w:rPr>
            </w:pPr>
            <w:r>
              <w:rPr>
                <w:sz w:val="4"/>
                <w:szCs w:val="4"/>
              </w:rPr>
            </w:r>
          </w:p>
        </w:tc>
        <w:tc>
          <w:tcPr>
            <w:tcW w:w="2975" w:type="dxa"/>
            <w:gridSpan w:val="5"/>
            <w:tcBorders/>
            <w:vAlign w:val="center"/>
          </w:tcPr>
          <w:p>
            <w:pPr>
              <w:pStyle w:val="TableContents"/>
              <w:bidi w:val="0"/>
              <w:spacing w:before="0" w:after="283"/>
              <w:jc w:val="start"/>
              <w:rPr/>
            </w:pPr>
            <w:r>
              <w:rPr/>
              <w:t xml:space="preserve">NDRS </w:t>
              <w:br/>
              <w:t xml:space="preserve">Rate (per 100 000 population) </w:t>
            </w:r>
          </w:p>
        </w:tc>
      </w:tr>
      <w:tr>
        <w:trPr/>
        <w:tc>
          <w:tcPr>
            <w:tcW w:w="1081" w:type="dxa"/>
            <w:tcBorders/>
            <w:vAlign w:val="center"/>
          </w:tcPr>
          <w:p>
            <w:pPr>
              <w:pStyle w:val="TableContents"/>
              <w:bidi w:val="0"/>
              <w:spacing w:before="0" w:after="283"/>
              <w:jc w:val="start"/>
              <w:rPr/>
            </w:pPr>
            <w:r>
              <w:rPr/>
              <w:t xml:space="preserve">Province / Territory </w:t>
            </w:r>
          </w:p>
        </w:tc>
        <w:tc>
          <w:tcPr>
            <w:tcW w:w="586" w:type="dxa"/>
            <w:tcBorders/>
            <w:vAlign w:val="center"/>
          </w:tcPr>
          <w:p>
            <w:pPr>
              <w:pStyle w:val="TableContents"/>
              <w:bidi w:val="0"/>
              <w:spacing w:before="0" w:after="283"/>
              <w:jc w:val="start"/>
              <w:rPr/>
            </w:pPr>
            <w:r>
              <w:rPr/>
              <w:t xml:space="preserve">2000 </w:t>
            </w:r>
          </w:p>
        </w:tc>
        <w:tc>
          <w:tcPr>
            <w:tcW w:w="586" w:type="dxa"/>
            <w:tcBorders/>
            <w:vAlign w:val="center"/>
          </w:tcPr>
          <w:p>
            <w:pPr>
              <w:pStyle w:val="TableContents"/>
              <w:bidi w:val="0"/>
              <w:spacing w:before="0" w:after="283"/>
              <w:jc w:val="start"/>
              <w:rPr/>
            </w:pPr>
            <w:r>
              <w:rPr/>
              <w:t xml:space="preserve">2001 </w:t>
            </w:r>
          </w:p>
        </w:tc>
        <w:tc>
          <w:tcPr>
            <w:tcW w:w="586" w:type="dxa"/>
            <w:tcBorders/>
            <w:vAlign w:val="center"/>
          </w:tcPr>
          <w:p>
            <w:pPr>
              <w:pStyle w:val="TableContents"/>
              <w:bidi w:val="0"/>
              <w:spacing w:before="0" w:after="283"/>
              <w:jc w:val="start"/>
              <w:rPr/>
            </w:pPr>
            <w:r>
              <w:rPr/>
              <w:t xml:space="preserve">2002 </w:t>
            </w:r>
          </w:p>
        </w:tc>
        <w:tc>
          <w:tcPr>
            <w:tcW w:w="586" w:type="dxa"/>
            <w:tcBorders/>
            <w:vAlign w:val="center"/>
          </w:tcPr>
          <w:p>
            <w:pPr>
              <w:pStyle w:val="TableContents"/>
              <w:bidi w:val="0"/>
              <w:spacing w:before="0" w:after="283"/>
              <w:jc w:val="start"/>
              <w:rPr/>
            </w:pPr>
            <w:r>
              <w:rPr/>
              <w:t xml:space="preserve">2003 </w:t>
            </w:r>
          </w:p>
        </w:tc>
        <w:tc>
          <w:tcPr>
            <w:tcW w:w="586" w:type="dxa"/>
            <w:tcBorders/>
            <w:vAlign w:val="center"/>
          </w:tcPr>
          <w:p>
            <w:pPr>
              <w:pStyle w:val="TableContents"/>
              <w:bidi w:val="0"/>
              <w:spacing w:before="0" w:after="283"/>
              <w:jc w:val="start"/>
              <w:rPr/>
            </w:pPr>
            <w:r>
              <w:rPr/>
              <w:t xml:space="preserve">2004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2000 </w:t>
            </w:r>
          </w:p>
        </w:tc>
        <w:tc>
          <w:tcPr>
            <w:tcW w:w="586" w:type="dxa"/>
            <w:tcBorders/>
            <w:vAlign w:val="center"/>
          </w:tcPr>
          <w:p>
            <w:pPr>
              <w:pStyle w:val="TableContents"/>
              <w:bidi w:val="0"/>
              <w:spacing w:before="0" w:after="283"/>
              <w:jc w:val="start"/>
              <w:rPr/>
            </w:pPr>
            <w:r>
              <w:rPr/>
              <w:t xml:space="preserve">2001 </w:t>
            </w:r>
          </w:p>
        </w:tc>
        <w:tc>
          <w:tcPr>
            <w:tcW w:w="586" w:type="dxa"/>
            <w:tcBorders/>
            <w:vAlign w:val="center"/>
          </w:tcPr>
          <w:p>
            <w:pPr>
              <w:pStyle w:val="TableContents"/>
              <w:bidi w:val="0"/>
              <w:spacing w:before="0" w:after="283"/>
              <w:jc w:val="start"/>
              <w:rPr/>
            </w:pPr>
            <w:r>
              <w:rPr/>
              <w:t xml:space="preserve">2002 </w:t>
            </w:r>
          </w:p>
        </w:tc>
        <w:tc>
          <w:tcPr>
            <w:tcW w:w="586" w:type="dxa"/>
            <w:tcBorders/>
            <w:vAlign w:val="center"/>
          </w:tcPr>
          <w:p>
            <w:pPr>
              <w:pStyle w:val="TableContents"/>
              <w:bidi w:val="0"/>
              <w:spacing w:before="0" w:after="283"/>
              <w:jc w:val="start"/>
              <w:rPr/>
            </w:pPr>
            <w:r>
              <w:rPr/>
              <w:t xml:space="preserve">2003 </w:t>
            </w:r>
          </w:p>
        </w:tc>
        <w:tc>
          <w:tcPr>
            <w:tcW w:w="631" w:type="dxa"/>
            <w:tcBorders/>
            <w:vAlign w:val="center"/>
          </w:tcPr>
          <w:p>
            <w:pPr>
              <w:pStyle w:val="TableContents"/>
              <w:bidi w:val="0"/>
              <w:spacing w:before="0" w:after="283"/>
              <w:jc w:val="start"/>
              <w:rPr/>
            </w:pPr>
            <w:r>
              <w:rPr/>
              <w:t xml:space="preserve">2004 </w:t>
            </w:r>
          </w:p>
        </w:tc>
      </w:tr>
      <w:tr>
        <w:trPr/>
        <w:tc>
          <w:tcPr>
            <w:tcW w:w="1081" w:type="dxa"/>
            <w:tcBorders/>
            <w:vAlign w:val="center"/>
          </w:tcPr>
          <w:p>
            <w:pPr>
              <w:pStyle w:val="TableContents"/>
              <w:bidi w:val="0"/>
              <w:spacing w:before="0" w:after="283"/>
              <w:jc w:val="start"/>
              <w:rPr/>
            </w:pPr>
            <w:r>
              <w:rPr/>
              <w:t xml:space="preserve">BC </w:t>
            </w:r>
          </w:p>
        </w:tc>
        <w:tc>
          <w:tcPr>
            <w:tcW w:w="586" w:type="dxa"/>
            <w:tcBorders/>
            <w:vAlign w:val="center"/>
          </w:tcPr>
          <w:p>
            <w:pPr>
              <w:pStyle w:val="TableContents"/>
              <w:bidi w:val="0"/>
              <w:spacing w:before="0" w:after="283"/>
              <w:jc w:val="start"/>
              <w:rPr/>
            </w:pPr>
            <w:r>
              <w:rPr/>
              <w:t xml:space="preserve">5. 47 </w:t>
            </w:r>
          </w:p>
        </w:tc>
        <w:tc>
          <w:tcPr>
            <w:tcW w:w="586" w:type="dxa"/>
            <w:tcBorders/>
            <w:vAlign w:val="center"/>
          </w:tcPr>
          <w:p>
            <w:pPr>
              <w:pStyle w:val="TableContents"/>
              <w:bidi w:val="0"/>
              <w:spacing w:before="0" w:after="283"/>
              <w:jc w:val="start"/>
              <w:rPr/>
            </w:pPr>
            <w:r>
              <w:rPr/>
              <w:t xml:space="preserve">3. 29 </w:t>
            </w:r>
          </w:p>
        </w:tc>
        <w:tc>
          <w:tcPr>
            <w:tcW w:w="586" w:type="dxa"/>
            <w:tcBorders/>
            <w:vAlign w:val="center"/>
          </w:tcPr>
          <w:p>
            <w:pPr>
              <w:pStyle w:val="TableContents"/>
              <w:bidi w:val="0"/>
              <w:spacing w:before="0" w:after="283"/>
              <w:jc w:val="start"/>
              <w:rPr/>
            </w:pPr>
            <w:r>
              <w:rPr/>
              <w:t xml:space="preserve">2. 89 </w:t>
            </w:r>
          </w:p>
        </w:tc>
        <w:tc>
          <w:tcPr>
            <w:tcW w:w="586" w:type="dxa"/>
            <w:tcBorders/>
            <w:vAlign w:val="center"/>
          </w:tcPr>
          <w:p>
            <w:pPr>
              <w:pStyle w:val="TableContents"/>
              <w:bidi w:val="0"/>
              <w:spacing w:before="0" w:after="283"/>
              <w:jc w:val="start"/>
              <w:rPr/>
            </w:pPr>
            <w:r>
              <w:rPr/>
              <w:t xml:space="preserve">2. 19 </w:t>
            </w:r>
          </w:p>
        </w:tc>
        <w:tc>
          <w:tcPr>
            <w:tcW w:w="586" w:type="dxa"/>
            <w:tcBorders/>
            <w:vAlign w:val="center"/>
          </w:tcPr>
          <w:p>
            <w:pPr>
              <w:pStyle w:val="TableContents"/>
              <w:bidi w:val="0"/>
              <w:spacing w:before="0" w:after="283"/>
              <w:jc w:val="start"/>
              <w:rPr/>
            </w:pPr>
            <w:r>
              <w:rPr/>
              <w:t xml:space="preserve">1. 9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63. 95 </w:t>
            </w:r>
          </w:p>
        </w:tc>
        <w:tc>
          <w:tcPr>
            <w:tcW w:w="586" w:type="dxa"/>
            <w:tcBorders/>
            <w:vAlign w:val="center"/>
          </w:tcPr>
          <w:p>
            <w:pPr>
              <w:pStyle w:val="TableContents"/>
              <w:bidi w:val="0"/>
              <w:spacing w:before="0" w:after="283"/>
              <w:jc w:val="start"/>
              <w:rPr/>
            </w:pPr>
            <w:r>
              <w:rPr/>
              <w:t xml:space="preserve">53. 75 </w:t>
            </w:r>
          </w:p>
        </w:tc>
        <w:tc>
          <w:tcPr>
            <w:tcW w:w="586" w:type="dxa"/>
            <w:tcBorders/>
            <w:vAlign w:val="center"/>
          </w:tcPr>
          <w:p>
            <w:pPr>
              <w:pStyle w:val="TableContents"/>
              <w:bidi w:val="0"/>
              <w:spacing w:before="0" w:after="283"/>
              <w:jc w:val="start"/>
              <w:rPr/>
            </w:pPr>
            <w:r>
              <w:rPr/>
              <w:t xml:space="preserve">49. 86 </w:t>
            </w:r>
          </w:p>
        </w:tc>
        <w:tc>
          <w:tcPr>
            <w:tcW w:w="586" w:type="dxa"/>
            <w:tcBorders/>
            <w:vAlign w:val="center"/>
          </w:tcPr>
          <w:p>
            <w:pPr>
              <w:pStyle w:val="TableContents"/>
              <w:bidi w:val="0"/>
              <w:spacing w:before="0" w:after="283"/>
              <w:jc w:val="start"/>
              <w:rPr/>
            </w:pPr>
            <w:r>
              <w:rPr/>
              <w:t xml:space="preserve">40. 89 </w:t>
            </w:r>
          </w:p>
        </w:tc>
        <w:tc>
          <w:tcPr>
            <w:tcW w:w="631" w:type="dxa"/>
            <w:tcBorders/>
            <w:vAlign w:val="center"/>
          </w:tcPr>
          <w:p>
            <w:pPr>
              <w:pStyle w:val="TableContents"/>
              <w:bidi w:val="0"/>
              <w:spacing w:before="0" w:after="283"/>
              <w:jc w:val="start"/>
              <w:rPr/>
            </w:pPr>
            <w:r>
              <w:rPr/>
              <w:t xml:space="preserve">34. 95 </w:t>
            </w:r>
          </w:p>
        </w:tc>
      </w:tr>
      <w:tr>
        <w:trPr/>
        <w:tc>
          <w:tcPr>
            <w:tcW w:w="1081" w:type="dxa"/>
            <w:tcBorders/>
            <w:vAlign w:val="center"/>
          </w:tcPr>
          <w:p>
            <w:pPr>
              <w:pStyle w:val="TableContents"/>
              <w:bidi w:val="0"/>
              <w:spacing w:before="0" w:after="283"/>
              <w:jc w:val="start"/>
              <w:rPr/>
            </w:pPr>
            <w:r>
              <w:rPr/>
              <w:t xml:space="preserve">AB </w:t>
            </w:r>
          </w:p>
        </w:tc>
        <w:tc>
          <w:tcPr>
            <w:tcW w:w="586" w:type="dxa"/>
            <w:tcBorders/>
            <w:vAlign w:val="center"/>
          </w:tcPr>
          <w:p>
            <w:pPr>
              <w:pStyle w:val="TableContents"/>
              <w:bidi w:val="0"/>
              <w:spacing w:before="0" w:after="283"/>
              <w:jc w:val="start"/>
              <w:rPr/>
            </w:pPr>
            <w:r>
              <w:rPr/>
              <w:t xml:space="preserve">12. 65 </w:t>
            </w:r>
          </w:p>
        </w:tc>
        <w:tc>
          <w:tcPr>
            <w:tcW w:w="586" w:type="dxa"/>
            <w:tcBorders/>
            <w:vAlign w:val="center"/>
          </w:tcPr>
          <w:p>
            <w:pPr>
              <w:pStyle w:val="TableContents"/>
              <w:bidi w:val="0"/>
              <w:spacing w:before="0" w:after="283"/>
              <w:jc w:val="start"/>
              <w:rPr/>
            </w:pPr>
            <w:r>
              <w:rPr/>
              <w:t xml:space="preserve">12. 69 </w:t>
            </w:r>
          </w:p>
        </w:tc>
        <w:tc>
          <w:tcPr>
            <w:tcW w:w="586" w:type="dxa"/>
            <w:tcBorders/>
            <w:vAlign w:val="center"/>
          </w:tcPr>
          <w:p>
            <w:pPr>
              <w:pStyle w:val="TableContents"/>
              <w:bidi w:val="0"/>
              <w:spacing w:before="0" w:after="283"/>
              <w:jc w:val="start"/>
              <w:rPr/>
            </w:pPr>
            <w:r>
              <w:rPr/>
              <w:t xml:space="preserve">14. 76 </w:t>
            </w:r>
          </w:p>
        </w:tc>
        <w:tc>
          <w:tcPr>
            <w:tcW w:w="586" w:type="dxa"/>
            <w:tcBorders/>
            <w:vAlign w:val="center"/>
          </w:tcPr>
          <w:p>
            <w:pPr>
              <w:pStyle w:val="TableContents"/>
              <w:bidi w:val="0"/>
              <w:spacing w:before="0" w:after="283"/>
              <w:jc w:val="start"/>
              <w:rPr/>
            </w:pPr>
            <w:r>
              <w:rPr/>
              <w:t xml:space="preserve">10. 82 </w:t>
            </w:r>
          </w:p>
        </w:tc>
        <w:tc>
          <w:tcPr>
            <w:tcW w:w="586" w:type="dxa"/>
            <w:tcBorders/>
            <w:vAlign w:val="center"/>
          </w:tcPr>
          <w:p>
            <w:pPr>
              <w:pStyle w:val="TableContents"/>
              <w:bidi w:val="0"/>
              <w:spacing w:before="0" w:after="283"/>
              <w:jc w:val="start"/>
              <w:rPr/>
            </w:pPr>
            <w:r>
              <w:rPr/>
              <w:t xml:space="preserve">9. 42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44. 43 </w:t>
            </w:r>
          </w:p>
        </w:tc>
        <w:tc>
          <w:tcPr>
            <w:tcW w:w="586" w:type="dxa"/>
            <w:tcBorders/>
            <w:vAlign w:val="center"/>
          </w:tcPr>
          <w:p>
            <w:pPr>
              <w:pStyle w:val="TableContents"/>
              <w:bidi w:val="0"/>
              <w:spacing w:before="0" w:after="283"/>
              <w:jc w:val="start"/>
              <w:rPr/>
            </w:pPr>
            <w:r>
              <w:rPr/>
              <w:t xml:space="preserve">40. 37 </w:t>
            </w:r>
          </w:p>
        </w:tc>
        <w:tc>
          <w:tcPr>
            <w:tcW w:w="586" w:type="dxa"/>
            <w:tcBorders/>
            <w:vAlign w:val="center"/>
          </w:tcPr>
          <w:p>
            <w:pPr>
              <w:pStyle w:val="TableContents"/>
              <w:bidi w:val="0"/>
              <w:spacing w:before="0" w:after="283"/>
              <w:jc w:val="start"/>
              <w:rPr/>
            </w:pPr>
            <w:r>
              <w:rPr/>
              <w:t xml:space="preserve">44. 83 </w:t>
            </w:r>
          </w:p>
        </w:tc>
        <w:tc>
          <w:tcPr>
            <w:tcW w:w="586" w:type="dxa"/>
            <w:tcBorders/>
            <w:vAlign w:val="center"/>
          </w:tcPr>
          <w:p>
            <w:pPr>
              <w:pStyle w:val="TableContents"/>
              <w:bidi w:val="0"/>
              <w:spacing w:before="0" w:after="283"/>
              <w:jc w:val="start"/>
              <w:rPr/>
            </w:pPr>
            <w:r>
              <w:rPr/>
              <w:t xml:space="preserve">35. 02 </w:t>
            </w:r>
          </w:p>
        </w:tc>
        <w:tc>
          <w:tcPr>
            <w:tcW w:w="631" w:type="dxa"/>
            <w:tcBorders/>
            <w:vAlign w:val="center"/>
          </w:tcPr>
          <w:p>
            <w:pPr>
              <w:pStyle w:val="TableContents"/>
              <w:bidi w:val="0"/>
              <w:spacing w:before="0" w:after="283"/>
              <w:jc w:val="start"/>
              <w:rPr/>
            </w:pPr>
            <w:r>
              <w:rPr/>
              <w:t xml:space="preserve">28. 22 </w:t>
            </w:r>
          </w:p>
        </w:tc>
      </w:tr>
      <w:tr>
        <w:trPr/>
        <w:tc>
          <w:tcPr>
            <w:tcW w:w="1081" w:type="dxa"/>
            <w:tcBorders/>
            <w:vAlign w:val="center"/>
          </w:tcPr>
          <w:p>
            <w:pPr>
              <w:pStyle w:val="TableContents"/>
              <w:bidi w:val="0"/>
              <w:spacing w:before="0" w:after="283"/>
              <w:jc w:val="start"/>
              <w:rPr/>
            </w:pPr>
            <w:r>
              <w:rPr/>
              <w:t xml:space="preserve">SK </w:t>
            </w:r>
          </w:p>
        </w:tc>
        <w:tc>
          <w:tcPr>
            <w:tcW w:w="586" w:type="dxa"/>
            <w:tcBorders/>
            <w:vAlign w:val="center"/>
          </w:tcPr>
          <w:p>
            <w:pPr>
              <w:pStyle w:val="TableContents"/>
              <w:bidi w:val="0"/>
              <w:spacing w:before="0" w:after="283"/>
              <w:jc w:val="start"/>
              <w:rPr/>
            </w:pPr>
            <w:r>
              <w:rPr/>
              <w:t xml:space="preserve">28. 38 </w:t>
            </w:r>
          </w:p>
        </w:tc>
        <w:tc>
          <w:tcPr>
            <w:tcW w:w="586" w:type="dxa"/>
            <w:tcBorders/>
            <w:vAlign w:val="center"/>
          </w:tcPr>
          <w:p>
            <w:pPr>
              <w:pStyle w:val="TableContents"/>
              <w:bidi w:val="0"/>
              <w:spacing w:before="0" w:after="283"/>
              <w:jc w:val="start"/>
              <w:rPr/>
            </w:pPr>
            <w:r>
              <w:rPr/>
              <w:t xml:space="preserve">25 </w:t>
            </w:r>
          </w:p>
        </w:tc>
        <w:tc>
          <w:tcPr>
            <w:tcW w:w="586" w:type="dxa"/>
            <w:tcBorders/>
            <w:vAlign w:val="center"/>
          </w:tcPr>
          <w:p>
            <w:pPr>
              <w:pStyle w:val="TableContents"/>
              <w:bidi w:val="0"/>
              <w:spacing w:before="0" w:after="283"/>
              <w:jc w:val="start"/>
              <w:rPr/>
            </w:pPr>
            <w:r>
              <w:rPr/>
              <w:t xml:space="preserve">25. 3 </w:t>
            </w:r>
          </w:p>
        </w:tc>
        <w:tc>
          <w:tcPr>
            <w:tcW w:w="586" w:type="dxa"/>
            <w:tcBorders/>
            <w:vAlign w:val="center"/>
          </w:tcPr>
          <w:p>
            <w:pPr>
              <w:pStyle w:val="TableContents"/>
              <w:bidi w:val="0"/>
              <w:spacing w:before="0" w:after="283"/>
              <w:jc w:val="start"/>
              <w:rPr/>
            </w:pPr>
            <w:r>
              <w:rPr/>
              <w:t xml:space="preserve">21. 92 </w:t>
            </w:r>
          </w:p>
        </w:tc>
        <w:tc>
          <w:tcPr>
            <w:tcW w:w="586" w:type="dxa"/>
            <w:tcBorders/>
            <w:vAlign w:val="center"/>
          </w:tcPr>
          <w:p>
            <w:pPr>
              <w:pStyle w:val="TableContents"/>
              <w:bidi w:val="0"/>
              <w:spacing w:before="0" w:after="283"/>
              <w:jc w:val="start"/>
              <w:rPr/>
            </w:pPr>
            <w:r>
              <w:rPr/>
              <w:t xml:space="preserve">19. 9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29. 67 </w:t>
            </w:r>
          </w:p>
        </w:tc>
        <w:tc>
          <w:tcPr>
            <w:tcW w:w="586" w:type="dxa"/>
            <w:tcBorders/>
            <w:vAlign w:val="center"/>
          </w:tcPr>
          <w:p>
            <w:pPr>
              <w:pStyle w:val="TableContents"/>
              <w:bidi w:val="0"/>
              <w:spacing w:before="0" w:after="283"/>
              <w:jc w:val="start"/>
              <w:rPr/>
            </w:pPr>
            <w:r>
              <w:rPr/>
              <w:t xml:space="preserve">24. 8 </w:t>
            </w:r>
          </w:p>
        </w:tc>
        <w:tc>
          <w:tcPr>
            <w:tcW w:w="586" w:type="dxa"/>
            <w:tcBorders/>
            <w:vAlign w:val="center"/>
          </w:tcPr>
          <w:p>
            <w:pPr>
              <w:pStyle w:val="TableContents"/>
              <w:bidi w:val="0"/>
              <w:spacing w:before="0" w:after="283"/>
              <w:jc w:val="start"/>
              <w:rPr/>
            </w:pPr>
            <w:r>
              <w:rPr/>
              <w:t xml:space="preserve">25. 5 </w:t>
            </w:r>
          </w:p>
        </w:tc>
        <w:tc>
          <w:tcPr>
            <w:tcW w:w="586" w:type="dxa"/>
            <w:tcBorders/>
            <w:vAlign w:val="center"/>
          </w:tcPr>
          <w:p>
            <w:pPr>
              <w:pStyle w:val="TableContents"/>
              <w:bidi w:val="0"/>
              <w:spacing w:before="0" w:after="283"/>
              <w:jc w:val="start"/>
              <w:rPr/>
            </w:pPr>
            <w:r>
              <w:rPr/>
              <w:t xml:space="preserve">21. 51 </w:t>
            </w:r>
          </w:p>
        </w:tc>
        <w:tc>
          <w:tcPr>
            <w:tcW w:w="631" w:type="dxa"/>
            <w:tcBorders/>
            <w:vAlign w:val="center"/>
          </w:tcPr>
          <w:p>
            <w:pPr>
              <w:pStyle w:val="TableContents"/>
              <w:bidi w:val="0"/>
              <w:spacing w:before="0" w:after="283"/>
              <w:jc w:val="start"/>
              <w:rPr/>
            </w:pPr>
            <w:r>
              <w:rPr/>
              <w:t xml:space="preserve">23. 62 </w:t>
            </w:r>
          </w:p>
        </w:tc>
      </w:tr>
      <w:tr>
        <w:trPr/>
        <w:tc>
          <w:tcPr>
            <w:tcW w:w="1081" w:type="dxa"/>
            <w:tcBorders/>
            <w:vAlign w:val="center"/>
          </w:tcPr>
          <w:p>
            <w:pPr>
              <w:pStyle w:val="TableContents"/>
              <w:bidi w:val="0"/>
              <w:spacing w:before="0" w:after="283"/>
              <w:jc w:val="start"/>
              <w:rPr/>
            </w:pPr>
            <w:r>
              <w:rPr/>
              <w:t xml:space="preserve">MB </w:t>
            </w:r>
          </w:p>
        </w:tc>
        <w:tc>
          <w:tcPr>
            <w:tcW w:w="586" w:type="dxa"/>
            <w:tcBorders/>
            <w:vAlign w:val="center"/>
          </w:tcPr>
          <w:p>
            <w:pPr>
              <w:pStyle w:val="TableContents"/>
              <w:bidi w:val="0"/>
              <w:spacing w:before="0" w:after="283"/>
              <w:jc w:val="start"/>
              <w:rPr/>
            </w:pPr>
            <w:r>
              <w:rPr/>
              <w:t xml:space="preserve">12. 03 </w:t>
            </w:r>
          </w:p>
        </w:tc>
        <w:tc>
          <w:tcPr>
            <w:tcW w:w="586" w:type="dxa"/>
            <w:tcBorders/>
            <w:vAlign w:val="center"/>
          </w:tcPr>
          <w:p>
            <w:pPr>
              <w:pStyle w:val="TableContents"/>
              <w:bidi w:val="0"/>
              <w:spacing w:before="0" w:after="283"/>
              <w:jc w:val="start"/>
              <w:rPr/>
            </w:pPr>
            <w:r>
              <w:rPr/>
              <w:t xml:space="preserve">11. 2 </w:t>
            </w:r>
          </w:p>
        </w:tc>
        <w:tc>
          <w:tcPr>
            <w:tcW w:w="586" w:type="dxa"/>
            <w:tcBorders/>
            <w:vAlign w:val="center"/>
          </w:tcPr>
          <w:p>
            <w:pPr>
              <w:pStyle w:val="TableContents"/>
              <w:bidi w:val="0"/>
              <w:spacing w:before="0" w:after="283"/>
              <w:jc w:val="start"/>
              <w:rPr/>
            </w:pPr>
            <w:r>
              <w:rPr/>
              <w:t xml:space="preserve">8. 83 </w:t>
            </w:r>
          </w:p>
        </w:tc>
        <w:tc>
          <w:tcPr>
            <w:tcW w:w="586" w:type="dxa"/>
            <w:tcBorders/>
            <w:vAlign w:val="center"/>
          </w:tcPr>
          <w:p>
            <w:pPr>
              <w:pStyle w:val="TableContents"/>
              <w:bidi w:val="0"/>
              <w:spacing w:before="0" w:after="283"/>
              <w:jc w:val="start"/>
              <w:rPr/>
            </w:pPr>
            <w:r>
              <w:rPr/>
              <w:t xml:space="preserve">6. 63 </w:t>
            </w:r>
          </w:p>
        </w:tc>
        <w:tc>
          <w:tcPr>
            <w:tcW w:w="586" w:type="dxa"/>
            <w:tcBorders/>
            <w:vAlign w:val="center"/>
          </w:tcPr>
          <w:p>
            <w:pPr>
              <w:pStyle w:val="TableContents"/>
              <w:bidi w:val="0"/>
              <w:spacing w:before="0" w:after="283"/>
              <w:jc w:val="start"/>
              <w:rPr/>
            </w:pPr>
            <w:r>
              <w:rPr/>
              <w:t xml:space="preserve">9. 83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23. 18 </w:t>
            </w:r>
          </w:p>
        </w:tc>
        <w:tc>
          <w:tcPr>
            <w:tcW w:w="586" w:type="dxa"/>
            <w:tcBorders/>
            <w:vAlign w:val="center"/>
          </w:tcPr>
          <w:p>
            <w:pPr>
              <w:pStyle w:val="TableContents"/>
              <w:bidi w:val="0"/>
              <w:spacing w:before="0" w:after="283"/>
              <w:jc w:val="start"/>
              <w:rPr/>
            </w:pPr>
            <w:r>
              <w:rPr/>
              <w:t xml:space="preserve">19. 37 </w:t>
            </w:r>
          </w:p>
        </w:tc>
        <w:tc>
          <w:tcPr>
            <w:tcW w:w="586" w:type="dxa"/>
            <w:tcBorders/>
            <w:vAlign w:val="center"/>
          </w:tcPr>
          <w:p>
            <w:pPr>
              <w:pStyle w:val="TableContents"/>
              <w:bidi w:val="0"/>
              <w:spacing w:before="0" w:after="283"/>
              <w:jc w:val="start"/>
              <w:rPr/>
            </w:pPr>
            <w:r>
              <w:rPr/>
              <w:t xml:space="preserve">18. 09 </w:t>
            </w:r>
          </w:p>
        </w:tc>
        <w:tc>
          <w:tcPr>
            <w:tcW w:w="586" w:type="dxa"/>
            <w:tcBorders/>
            <w:vAlign w:val="center"/>
          </w:tcPr>
          <w:p>
            <w:pPr>
              <w:pStyle w:val="TableContents"/>
              <w:bidi w:val="0"/>
              <w:spacing w:before="0" w:after="283"/>
              <w:jc w:val="start"/>
              <w:rPr/>
            </w:pPr>
            <w:r>
              <w:rPr/>
              <w:t xml:space="preserve">14. 46 </w:t>
            </w:r>
          </w:p>
        </w:tc>
        <w:tc>
          <w:tcPr>
            <w:tcW w:w="631" w:type="dxa"/>
            <w:tcBorders/>
            <w:vAlign w:val="center"/>
          </w:tcPr>
          <w:p>
            <w:pPr>
              <w:pStyle w:val="TableContents"/>
              <w:bidi w:val="0"/>
              <w:spacing w:before="0" w:after="283"/>
              <w:jc w:val="start"/>
              <w:rPr/>
            </w:pPr>
            <w:r>
              <w:rPr/>
              <w:t xml:space="preserve">18. 2 </w:t>
            </w:r>
          </w:p>
        </w:tc>
      </w:tr>
      <w:tr>
        <w:trPr/>
        <w:tc>
          <w:tcPr>
            <w:tcW w:w="1081" w:type="dxa"/>
            <w:tcBorders/>
            <w:vAlign w:val="center"/>
          </w:tcPr>
          <w:p>
            <w:pPr>
              <w:pStyle w:val="TableContents"/>
              <w:bidi w:val="0"/>
              <w:spacing w:before="0" w:after="283"/>
              <w:jc w:val="start"/>
              <w:rPr/>
            </w:pPr>
            <w:r>
              <w:rPr/>
              <w:t xml:space="preserve">ON </w:t>
            </w:r>
          </w:p>
        </w:tc>
        <w:tc>
          <w:tcPr>
            <w:tcW w:w="586" w:type="dxa"/>
            <w:tcBorders/>
            <w:vAlign w:val="center"/>
          </w:tcPr>
          <w:p>
            <w:pPr>
              <w:pStyle w:val="TableContents"/>
              <w:bidi w:val="0"/>
              <w:spacing w:before="0" w:after="283"/>
              <w:jc w:val="start"/>
              <w:rPr/>
            </w:pPr>
            <w:r>
              <w:rPr/>
              <w:t xml:space="preserve">3. 98 </w:t>
            </w:r>
          </w:p>
        </w:tc>
        <w:tc>
          <w:tcPr>
            <w:tcW w:w="586" w:type="dxa"/>
            <w:tcBorders/>
            <w:vAlign w:val="center"/>
          </w:tcPr>
          <w:p>
            <w:pPr>
              <w:pStyle w:val="TableContents"/>
              <w:bidi w:val="0"/>
              <w:spacing w:before="0" w:after="283"/>
              <w:jc w:val="start"/>
              <w:rPr/>
            </w:pPr>
            <w:r>
              <w:rPr/>
              <w:t xml:space="preserve">2. 26 </w:t>
            </w:r>
          </w:p>
        </w:tc>
        <w:tc>
          <w:tcPr>
            <w:tcW w:w="586" w:type="dxa"/>
            <w:tcBorders/>
            <w:vAlign w:val="center"/>
          </w:tcPr>
          <w:p>
            <w:pPr>
              <w:pStyle w:val="TableContents"/>
              <w:bidi w:val="0"/>
              <w:spacing w:before="0" w:after="283"/>
              <w:jc w:val="start"/>
              <w:rPr/>
            </w:pPr>
            <w:r>
              <w:rPr/>
              <w:t xml:space="preserve">3. 16 </w:t>
            </w:r>
          </w:p>
        </w:tc>
        <w:tc>
          <w:tcPr>
            <w:tcW w:w="586" w:type="dxa"/>
            <w:tcBorders/>
            <w:vAlign w:val="center"/>
          </w:tcPr>
          <w:p>
            <w:pPr>
              <w:pStyle w:val="TableContents"/>
              <w:bidi w:val="0"/>
              <w:spacing w:before="0" w:after="283"/>
              <w:jc w:val="start"/>
              <w:rPr/>
            </w:pPr>
            <w:r>
              <w:rPr/>
              <w:t xml:space="preserve">2. 49 </w:t>
            </w:r>
          </w:p>
        </w:tc>
        <w:tc>
          <w:tcPr>
            <w:tcW w:w="586" w:type="dxa"/>
            <w:tcBorders/>
            <w:vAlign w:val="center"/>
          </w:tcPr>
          <w:p>
            <w:pPr>
              <w:pStyle w:val="TableContents"/>
              <w:bidi w:val="0"/>
              <w:spacing w:before="0" w:after="283"/>
              <w:jc w:val="start"/>
              <w:rPr/>
            </w:pPr>
            <w:r>
              <w:rPr/>
              <w:t xml:space="preserve">1. 81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42. 5 </w:t>
            </w:r>
          </w:p>
        </w:tc>
        <w:tc>
          <w:tcPr>
            <w:tcW w:w="586" w:type="dxa"/>
            <w:tcBorders/>
            <w:vAlign w:val="center"/>
          </w:tcPr>
          <w:p>
            <w:pPr>
              <w:pStyle w:val="TableContents"/>
              <w:bidi w:val="0"/>
              <w:spacing w:before="0" w:after="283"/>
              <w:jc w:val="start"/>
              <w:rPr/>
            </w:pPr>
            <w:r>
              <w:rPr/>
              <w:t xml:space="preserve">42. 08 </w:t>
            </w:r>
          </w:p>
        </w:tc>
        <w:tc>
          <w:tcPr>
            <w:tcW w:w="586" w:type="dxa"/>
            <w:tcBorders/>
            <w:vAlign w:val="center"/>
          </w:tcPr>
          <w:p>
            <w:pPr>
              <w:pStyle w:val="TableContents"/>
              <w:bidi w:val="0"/>
              <w:spacing w:before="0" w:after="283"/>
              <w:jc w:val="start"/>
              <w:rPr/>
            </w:pPr>
            <w:r>
              <w:rPr/>
              <w:t xml:space="preserve">37. 82 </w:t>
            </w:r>
          </w:p>
        </w:tc>
        <w:tc>
          <w:tcPr>
            <w:tcW w:w="586" w:type="dxa"/>
            <w:tcBorders/>
            <w:vAlign w:val="center"/>
          </w:tcPr>
          <w:p>
            <w:pPr>
              <w:pStyle w:val="TableContents"/>
              <w:bidi w:val="0"/>
              <w:spacing w:before="0" w:after="283"/>
              <w:jc w:val="start"/>
              <w:rPr/>
            </w:pPr>
            <w:r>
              <w:rPr/>
              <w:t xml:space="preserve">32. 99 </w:t>
            </w:r>
          </w:p>
        </w:tc>
        <w:tc>
          <w:tcPr>
            <w:tcW w:w="631" w:type="dxa"/>
            <w:tcBorders/>
            <w:vAlign w:val="center"/>
          </w:tcPr>
          <w:p>
            <w:pPr>
              <w:pStyle w:val="TableContents"/>
              <w:bidi w:val="0"/>
              <w:spacing w:before="0" w:after="283"/>
              <w:jc w:val="start"/>
              <w:rPr/>
            </w:pPr>
            <w:r>
              <w:rPr/>
              <w:t xml:space="preserve">31. 77 </w:t>
            </w:r>
          </w:p>
        </w:tc>
      </w:tr>
      <w:tr>
        <w:trPr/>
        <w:tc>
          <w:tcPr>
            <w:tcW w:w="1081" w:type="dxa"/>
            <w:tcBorders/>
            <w:vAlign w:val="center"/>
          </w:tcPr>
          <w:p>
            <w:pPr>
              <w:pStyle w:val="TableContents"/>
              <w:bidi w:val="0"/>
              <w:spacing w:before="0" w:after="283"/>
              <w:jc w:val="start"/>
              <w:rPr/>
            </w:pPr>
            <w:r>
              <w:rPr/>
              <w:t xml:space="preserve">QC </w:t>
            </w:r>
          </w:p>
        </w:tc>
        <w:tc>
          <w:tcPr>
            <w:tcW w:w="586" w:type="dxa"/>
            <w:tcBorders/>
            <w:vAlign w:val="center"/>
          </w:tcPr>
          <w:p>
            <w:pPr>
              <w:pStyle w:val="TableContents"/>
              <w:bidi w:val="0"/>
              <w:spacing w:before="0" w:after="283"/>
              <w:jc w:val="start"/>
              <w:rPr/>
            </w:pPr>
            <w:r>
              <w:rPr/>
              <w:t xml:space="preserve">1. 48 </w:t>
            </w:r>
          </w:p>
        </w:tc>
        <w:tc>
          <w:tcPr>
            <w:tcW w:w="586" w:type="dxa"/>
            <w:tcBorders/>
            <w:vAlign w:val="center"/>
          </w:tcPr>
          <w:p>
            <w:pPr>
              <w:pStyle w:val="TableContents"/>
              <w:bidi w:val="0"/>
              <w:spacing w:before="0" w:after="283"/>
              <w:jc w:val="start"/>
              <w:rPr/>
            </w:pPr>
            <w:r>
              <w:rPr/>
              <w:t xml:space="preserve">1. 76 </w:t>
            </w:r>
          </w:p>
        </w:tc>
        <w:tc>
          <w:tcPr>
            <w:tcW w:w="586" w:type="dxa"/>
            <w:tcBorders/>
            <w:vAlign w:val="center"/>
          </w:tcPr>
          <w:p>
            <w:pPr>
              <w:pStyle w:val="TableContents"/>
              <w:bidi w:val="0"/>
              <w:spacing w:before="0" w:after="283"/>
              <w:jc w:val="start"/>
              <w:rPr/>
            </w:pPr>
            <w:r>
              <w:rPr/>
              <w:t xml:space="preserve">1. 73 </w:t>
            </w:r>
          </w:p>
        </w:tc>
        <w:tc>
          <w:tcPr>
            <w:tcW w:w="586" w:type="dxa"/>
            <w:tcBorders/>
            <w:vAlign w:val="center"/>
          </w:tcPr>
          <w:p>
            <w:pPr>
              <w:pStyle w:val="TableContents"/>
              <w:bidi w:val="0"/>
              <w:spacing w:before="0" w:after="283"/>
              <w:jc w:val="start"/>
              <w:rPr/>
            </w:pPr>
            <w:r>
              <w:rPr/>
              <w:t xml:space="preserve">1. 87 </w:t>
            </w:r>
          </w:p>
        </w:tc>
        <w:tc>
          <w:tcPr>
            <w:tcW w:w="586" w:type="dxa"/>
            <w:tcBorders/>
            <w:vAlign w:val="center"/>
          </w:tcPr>
          <w:p>
            <w:pPr>
              <w:pStyle w:val="TableContents"/>
              <w:bidi w:val="0"/>
              <w:spacing w:before="0" w:after="283"/>
              <w:jc w:val="start"/>
              <w:rPr/>
            </w:pPr>
            <w:r>
              <w:rPr/>
              <w:t xml:space="preserve">1. 21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36. 09 </w:t>
            </w:r>
          </w:p>
        </w:tc>
        <w:tc>
          <w:tcPr>
            <w:tcW w:w="586" w:type="dxa"/>
            <w:tcBorders/>
            <w:vAlign w:val="center"/>
          </w:tcPr>
          <w:p>
            <w:pPr>
              <w:pStyle w:val="TableContents"/>
              <w:bidi w:val="0"/>
              <w:spacing w:before="0" w:after="283"/>
              <w:jc w:val="start"/>
              <w:rPr/>
            </w:pPr>
            <w:r>
              <w:rPr/>
              <w:t xml:space="preserve">32. 69 </w:t>
            </w:r>
          </w:p>
        </w:tc>
        <w:tc>
          <w:tcPr>
            <w:tcW w:w="586" w:type="dxa"/>
            <w:tcBorders/>
            <w:vAlign w:val="center"/>
          </w:tcPr>
          <w:p>
            <w:pPr>
              <w:pStyle w:val="TableContents"/>
              <w:bidi w:val="0"/>
              <w:spacing w:before="0" w:after="283"/>
              <w:jc w:val="start"/>
              <w:rPr/>
            </w:pPr>
            <w:r>
              <w:rPr/>
              <w:t xml:space="preserve">34. 13 </w:t>
            </w:r>
          </w:p>
        </w:tc>
        <w:tc>
          <w:tcPr>
            <w:tcW w:w="586" w:type="dxa"/>
            <w:tcBorders/>
            <w:vAlign w:val="center"/>
          </w:tcPr>
          <w:p>
            <w:pPr>
              <w:pStyle w:val="TableContents"/>
              <w:bidi w:val="0"/>
              <w:spacing w:before="0" w:after="283"/>
              <w:jc w:val="start"/>
              <w:rPr/>
            </w:pPr>
            <w:r>
              <w:rPr/>
              <w:t xml:space="preserve">31. 32 </w:t>
            </w:r>
          </w:p>
        </w:tc>
        <w:tc>
          <w:tcPr>
            <w:tcW w:w="631" w:type="dxa"/>
            <w:tcBorders/>
            <w:vAlign w:val="center"/>
          </w:tcPr>
          <w:p>
            <w:pPr>
              <w:pStyle w:val="TableContents"/>
              <w:bidi w:val="0"/>
              <w:spacing w:before="0" w:after="283"/>
              <w:jc w:val="start"/>
              <w:rPr/>
            </w:pPr>
            <w:r>
              <w:rPr/>
              <w:t xml:space="preserve">32. 42 </w:t>
            </w:r>
          </w:p>
        </w:tc>
      </w:tr>
      <w:tr>
        <w:trPr/>
        <w:tc>
          <w:tcPr>
            <w:tcW w:w="1081" w:type="dxa"/>
            <w:tcBorders/>
            <w:vAlign w:val="center"/>
          </w:tcPr>
          <w:p>
            <w:pPr>
              <w:pStyle w:val="TableContents"/>
              <w:bidi w:val="0"/>
              <w:spacing w:before="0" w:after="283"/>
              <w:jc w:val="start"/>
              <w:rPr/>
            </w:pPr>
            <w:r>
              <w:rPr/>
              <w:t xml:space="preserve">NB </w:t>
            </w:r>
          </w:p>
        </w:tc>
        <w:tc>
          <w:tcPr>
            <w:tcW w:w="586" w:type="dxa"/>
            <w:tcBorders/>
            <w:vAlign w:val="center"/>
          </w:tcPr>
          <w:p>
            <w:pPr>
              <w:pStyle w:val="TableContents"/>
              <w:bidi w:val="0"/>
              <w:spacing w:before="0" w:after="283"/>
              <w:jc w:val="start"/>
              <w:rPr/>
            </w:pPr>
            <w:r>
              <w:rPr/>
              <w:t xml:space="preserve">26. 12 </w:t>
            </w:r>
          </w:p>
        </w:tc>
        <w:tc>
          <w:tcPr>
            <w:tcW w:w="586" w:type="dxa"/>
            <w:tcBorders/>
            <w:vAlign w:val="center"/>
          </w:tcPr>
          <w:p>
            <w:pPr>
              <w:pStyle w:val="TableContents"/>
              <w:bidi w:val="0"/>
              <w:spacing w:before="0" w:after="283"/>
              <w:jc w:val="start"/>
              <w:rPr/>
            </w:pPr>
            <w:r>
              <w:rPr/>
              <w:t xml:space="preserve">31. 47 </w:t>
            </w:r>
          </w:p>
        </w:tc>
        <w:tc>
          <w:tcPr>
            <w:tcW w:w="586" w:type="dxa"/>
            <w:tcBorders/>
            <w:vAlign w:val="center"/>
          </w:tcPr>
          <w:p>
            <w:pPr>
              <w:pStyle w:val="TableContents"/>
              <w:bidi w:val="0"/>
              <w:spacing w:before="0" w:after="283"/>
              <w:jc w:val="start"/>
              <w:rPr/>
            </w:pPr>
            <w:r>
              <w:rPr/>
              <w:t xml:space="preserve">25. 72 </w:t>
            </w:r>
          </w:p>
        </w:tc>
        <w:tc>
          <w:tcPr>
            <w:tcW w:w="586" w:type="dxa"/>
            <w:tcBorders/>
            <w:vAlign w:val="center"/>
          </w:tcPr>
          <w:p>
            <w:pPr>
              <w:pStyle w:val="TableContents"/>
              <w:bidi w:val="0"/>
              <w:spacing w:before="0" w:after="283"/>
              <w:jc w:val="start"/>
              <w:rPr/>
            </w:pPr>
            <w:r>
              <w:rPr/>
              <w:t xml:space="preserve">27. 69 </w:t>
            </w:r>
          </w:p>
        </w:tc>
        <w:tc>
          <w:tcPr>
            <w:tcW w:w="586" w:type="dxa"/>
            <w:tcBorders/>
            <w:vAlign w:val="center"/>
          </w:tcPr>
          <w:p>
            <w:pPr>
              <w:pStyle w:val="TableContents"/>
              <w:bidi w:val="0"/>
              <w:spacing w:before="0" w:after="283"/>
              <w:jc w:val="start"/>
              <w:rPr/>
            </w:pPr>
            <w:r>
              <w:rPr/>
              <w:t xml:space="preserve">19. 55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29. 31 </w:t>
            </w:r>
          </w:p>
        </w:tc>
        <w:tc>
          <w:tcPr>
            <w:tcW w:w="586" w:type="dxa"/>
            <w:tcBorders/>
            <w:vAlign w:val="center"/>
          </w:tcPr>
          <w:p>
            <w:pPr>
              <w:pStyle w:val="TableContents"/>
              <w:bidi w:val="0"/>
              <w:spacing w:before="0" w:after="283"/>
              <w:jc w:val="start"/>
              <w:rPr/>
            </w:pPr>
            <w:r>
              <w:rPr/>
              <w:t xml:space="preserve">33. 6 </w:t>
            </w:r>
          </w:p>
        </w:tc>
        <w:tc>
          <w:tcPr>
            <w:tcW w:w="586" w:type="dxa"/>
            <w:tcBorders/>
            <w:vAlign w:val="center"/>
          </w:tcPr>
          <w:p>
            <w:pPr>
              <w:pStyle w:val="TableContents"/>
              <w:bidi w:val="0"/>
              <w:spacing w:before="0" w:after="283"/>
              <w:jc w:val="start"/>
              <w:rPr/>
            </w:pPr>
            <w:r>
              <w:rPr/>
              <w:t xml:space="preserve">27. 72 </w:t>
            </w:r>
          </w:p>
        </w:tc>
        <w:tc>
          <w:tcPr>
            <w:tcW w:w="586" w:type="dxa"/>
            <w:tcBorders/>
            <w:vAlign w:val="center"/>
          </w:tcPr>
          <w:p>
            <w:pPr>
              <w:pStyle w:val="TableContents"/>
              <w:bidi w:val="0"/>
              <w:spacing w:before="0" w:after="283"/>
              <w:jc w:val="start"/>
              <w:rPr/>
            </w:pPr>
            <w:r>
              <w:rPr/>
              <w:t xml:space="preserve">27. 16 </w:t>
            </w:r>
          </w:p>
        </w:tc>
        <w:tc>
          <w:tcPr>
            <w:tcW w:w="631" w:type="dxa"/>
            <w:tcBorders/>
            <w:vAlign w:val="center"/>
          </w:tcPr>
          <w:p>
            <w:pPr>
              <w:pStyle w:val="TableContents"/>
              <w:bidi w:val="0"/>
              <w:spacing w:before="0" w:after="283"/>
              <w:jc w:val="start"/>
              <w:rPr/>
            </w:pPr>
            <w:r>
              <w:rPr/>
              <w:t xml:space="preserve">19. 41 </w:t>
            </w:r>
          </w:p>
        </w:tc>
      </w:tr>
      <w:tr>
        <w:trPr/>
        <w:tc>
          <w:tcPr>
            <w:tcW w:w="1081" w:type="dxa"/>
            <w:tcBorders/>
            <w:vAlign w:val="center"/>
          </w:tcPr>
          <w:p>
            <w:pPr>
              <w:pStyle w:val="TableContents"/>
              <w:bidi w:val="0"/>
              <w:spacing w:before="0" w:after="283"/>
              <w:jc w:val="start"/>
              <w:rPr/>
            </w:pPr>
            <w:r>
              <w:rPr/>
              <w:t xml:space="preserve">NS </w:t>
            </w:r>
          </w:p>
        </w:tc>
        <w:tc>
          <w:tcPr>
            <w:tcW w:w="586" w:type="dxa"/>
            <w:tcBorders/>
            <w:vAlign w:val="center"/>
          </w:tcPr>
          <w:p>
            <w:pPr>
              <w:pStyle w:val="TableContents"/>
              <w:bidi w:val="0"/>
              <w:spacing w:before="0" w:after="283"/>
              <w:jc w:val="start"/>
              <w:rPr/>
            </w:pPr>
            <w:r>
              <w:rPr/>
              <w:t xml:space="preserve">6. 75 </w:t>
            </w:r>
          </w:p>
        </w:tc>
        <w:tc>
          <w:tcPr>
            <w:tcW w:w="586" w:type="dxa"/>
            <w:tcBorders/>
            <w:vAlign w:val="center"/>
          </w:tcPr>
          <w:p>
            <w:pPr>
              <w:pStyle w:val="TableContents"/>
              <w:bidi w:val="0"/>
              <w:spacing w:before="0" w:after="283"/>
              <w:jc w:val="start"/>
              <w:rPr/>
            </w:pPr>
            <w:r>
              <w:rPr/>
              <w:t xml:space="preserve">5. 15 </w:t>
            </w:r>
          </w:p>
        </w:tc>
        <w:tc>
          <w:tcPr>
            <w:tcW w:w="586" w:type="dxa"/>
            <w:tcBorders/>
            <w:vAlign w:val="center"/>
          </w:tcPr>
          <w:p>
            <w:pPr>
              <w:pStyle w:val="TableContents"/>
              <w:bidi w:val="0"/>
              <w:spacing w:before="0" w:after="283"/>
              <w:jc w:val="start"/>
              <w:rPr/>
            </w:pPr>
            <w:r>
              <w:rPr/>
              <w:t xml:space="preserve">7. 7 </w:t>
            </w:r>
          </w:p>
        </w:tc>
        <w:tc>
          <w:tcPr>
            <w:tcW w:w="586" w:type="dxa"/>
            <w:tcBorders/>
            <w:vAlign w:val="center"/>
          </w:tcPr>
          <w:p>
            <w:pPr>
              <w:pStyle w:val="TableContents"/>
              <w:bidi w:val="0"/>
              <w:spacing w:before="0" w:after="283"/>
              <w:jc w:val="start"/>
              <w:rPr/>
            </w:pPr>
            <w:r>
              <w:rPr/>
              <w:t xml:space="preserve">6. 19 </w:t>
            </w:r>
          </w:p>
        </w:tc>
        <w:tc>
          <w:tcPr>
            <w:tcW w:w="586" w:type="dxa"/>
            <w:tcBorders/>
            <w:vAlign w:val="center"/>
          </w:tcPr>
          <w:p>
            <w:pPr>
              <w:pStyle w:val="TableContents"/>
              <w:bidi w:val="0"/>
              <w:spacing w:before="0" w:after="283"/>
              <w:jc w:val="start"/>
              <w:rPr/>
            </w:pPr>
            <w:r>
              <w:rPr/>
              <w:t xml:space="preserve">6. 18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19. 7 </w:t>
            </w:r>
          </w:p>
        </w:tc>
        <w:tc>
          <w:tcPr>
            <w:tcW w:w="586" w:type="dxa"/>
            <w:tcBorders/>
            <w:vAlign w:val="center"/>
          </w:tcPr>
          <w:p>
            <w:pPr>
              <w:pStyle w:val="TableContents"/>
              <w:bidi w:val="0"/>
              <w:spacing w:before="0" w:after="283"/>
              <w:jc w:val="start"/>
              <w:rPr/>
            </w:pPr>
            <w:r>
              <w:rPr/>
              <w:t xml:space="preserve">18. 34 </w:t>
            </w:r>
          </w:p>
        </w:tc>
        <w:tc>
          <w:tcPr>
            <w:tcW w:w="586" w:type="dxa"/>
            <w:tcBorders/>
            <w:vAlign w:val="center"/>
          </w:tcPr>
          <w:p>
            <w:pPr>
              <w:pStyle w:val="TableContents"/>
              <w:bidi w:val="0"/>
              <w:spacing w:before="0" w:after="283"/>
              <w:jc w:val="start"/>
              <w:rPr/>
            </w:pPr>
            <w:r>
              <w:rPr/>
              <w:t xml:space="preserve">21. 51 </w:t>
            </w:r>
          </w:p>
        </w:tc>
        <w:tc>
          <w:tcPr>
            <w:tcW w:w="586" w:type="dxa"/>
            <w:tcBorders/>
            <w:vAlign w:val="center"/>
          </w:tcPr>
          <w:p>
            <w:pPr>
              <w:pStyle w:val="TableContents"/>
              <w:bidi w:val="0"/>
              <w:spacing w:before="0" w:after="283"/>
              <w:jc w:val="start"/>
              <w:rPr/>
            </w:pPr>
            <w:r>
              <w:rPr/>
              <w:t xml:space="preserve">14. 95 </w:t>
            </w:r>
          </w:p>
        </w:tc>
        <w:tc>
          <w:tcPr>
            <w:tcW w:w="631" w:type="dxa"/>
            <w:tcBorders/>
            <w:vAlign w:val="center"/>
          </w:tcPr>
          <w:p>
            <w:pPr>
              <w:pStyle w:val="TableContents"/>
              <w:bidi w:val="0"/>
              <w:spacing w:before="0" w:after="283"/>
              <w:jc w:val="start"/>
              <w:rPr/>
            </w:pPr>
            <w:r>
              <w:rPr/>
              <w:t xml:space="preserve">15. 99 </w:t>
            </w:r>
          </w:p>
        </w:tc>
      </w:tr>
      <w:tr>
        <w:trPr/>
        <w:tc>
          <w:tcPr>
            <w:tcW w:w="1081" w:type="dxa"/>
            <w:tcBorders/>
            <w:vAlign w:val="center"/>
          </w:tcPr>
          <w:p>
            <w:pPr>
              <w:pStyle w:val="TableContents"/>
              <w:bidi w:val="0"/>
              <w:spacing w:before="0" w:after="283"/>
              <w:jc w:val="start"/>
              <w:rPr/>
            </w:pPr>
            <w:r>
              <w:rPr/>
              <w:t xml:space="preserve">PEI </w:t>
            </w:r>
          </w:p>
        </w:tc>
        <w:tc>
          <w:tcPr>
            <w:tcW w:w="586" w:type="dxa"/>
            <w:tcBorders/>
            <w:vAlign w:val="center"/>
          </w:tcPr>
          <w:p>
            <w:pPr>
              <w:pStyle w:val="TableContents"/>
              <w:bidi w:val="0"/>
              <w:spacing w:before="0" w:after="283"/>
              <w:jc w:val="start"/>
              <w:rPr/>
            </w:pPr>
            <w:r>
              <w:rPr/>
              <w:t xml:space="preserve">32. 24 </w:t>
            </w:r>
          </w:p>
        </w:tc>
        <w:tc>
          <w:tcPr>
            <w:tcW w:w="586" w:type="dxa"/>
            <w:tcBorders/>
            <w:vAlign w:val="center"/>
          </w:tcPr>
          <w:p>
            <w:pPr>
              <w:pStyle w:val="TableContents"/>
              <w:bidi w:val="0"/>
              <w:spacing w:before="0" w:after="283"/>
              <w:jc w:val="start"/>
              <w:rPr/>
            </w:pPr>
            <w:r>
              <w:rPr/>
              <w:t xml:space="preserve">27. 8 </w:t>
            </w:r>
          </w:p>
        </w:tc>
        <w:tc>
          <w:tcPr>
            <w:tcW w:w="586" w:type="dxa"/>
            <w:tcBorders/>
            <w:vAlign w:val="center"/>
          </w:tcPr>
          <w:p>
            <w:pPr>
              <w:pStyle w:val="TableContents"/>
              <w:bidi w:val="0"/>
              <w:spacing w:before="0" w:after="283"/>
              <w:jc w:val="start"/>
              <w:rPr/>
            </w:pPr>
            <w:r>
              <w:rPr/>
              <w:t xml:space="preserve">37. 24 </w:t>
            </w:r>
          </w:p>
        </w:tc>
        <w:tc>
          <w:tcPr>
            <w:tcW w:w="586" w:type="dxa"/>
            <w:tcBorders/>
            <w:vAlign w:val="center"/>
          </w:tcPr>
          <w:p>
            <w:pPr>
              <w:pStyle w:val="TableContents"/>
              <w:bidi w:val="0"/>
              <w:spacing w:before="0" w:after="283"/>
              <w:jc w:val="start"/>
              <w:rPr/>
            </w:pPr>
            <w:r>
              <w:rPr/>
              <w:t xml:space="preserve">22. 57 </w:t>
            </w:r>
          </w:p>
        </w:tc>
        <w:tc>
          <w:tcPr>
            <w:tcW w:w="586" w:type="dxa"/>
            <w:tcBorders/>
            <w:vAlign w:val="center"/>
          </w:tcPr>
          <w:p>
            <w:pPr>
              <w:pStyle w:val="TableContents"/>
              <w:bidi w:val="0"/>
              <w:spacing w:before="0" w:after="283"/>
              <w:jc w:val="start"/>
              <w:rPr/>
            </w:pPr>
            <w:r>
              <w:rPr/>
              <w:t xml:space="preserve">18. 86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32. 24 </w:t>
            </w:r>
          </w:p>
        </w:tc>
        <w:tc>
          <w:tcPr>
            <w:tcW w:w="586" w:type="dxa"/>
            <w:tcBorders/>
            <w:vAlign w:val="center"/>
          </w:tcPr>
          <w:p>
            <w:pPr>
              <w:pStyle w:val="TableContents"/>
              <w:bidi w:val="0"/>
              <w:spacing w:before="0" w:after="283"/>
              <w:jc w:val="start"/>
              <w:rPr/>
            </w:pPr>
            <w:r>
              <w:rPr/>
              <w:t xml:space="preserve">29. 27 </w:t>
            </w:r>
          </w:p>
        </w:tc>
        <w:tc>
          <w:tcPr>
            <w:tcW w:w="586" w:type="dxa"/>
            <w:tcBorders/>
            <w:vAlign w:val="center"/>
          </w:tcPr>
          <w:p>
            <w:pPr>
              <w:pStyle w:val="TableContents"/>
              <w:bidi w:val="0"/>
              <w:spacing w:before="0" w:after="283"/>
              <w:jc w:val="start"/>
              <w:rPr/>
            </w:pPr>
            <w:r>
              <w:rPr/>
              <w:t xml:space="preserve">32. 86 </w:t>
            </w:r>
          </w:p>
        </w:tc>
        <w:tc>
          <w:tcPr>
            <w:tcW w:w="586" w:type="dxa"/>
            <w:tcBorders/>
            <w:vAlign w:val="center"/>
          </w:tcPr>
          <w:p>
            <w:pPr>
              <w:pStyle w:val="TableContents"/>
              <w:bidi w:val="0"/>
              <w:spacing w:before="0" w:after="283"/>
              <w:jc w:val="start"/>
              <w:rPr/>
            </w:pPr>
            <w:r>
              <w:rPr/>
              <w:t xml:space="preserve">22. 57 </w:t>
            </w:r>
          </w:p>
        </w:tc>
        <w:tc>
          <w:tcPr>
            <w:tcW w:w="631" w:type="dxa"/>
            <w:tcBorders/>
            <w:vAlign w:val="center"/>
          </w:tcPr>
          <w:p>
            <w:pPr>
              <w:pStyle w:val="TableContents"/>
              <w:bidi w:val="0"/>
              <w:spacing w:before="0" w:after="283"/>
              <w:jc w:val="start"/>
              <w:rPr/>
            </w:pPr>
            <w:r>
              <w:rPr/>
              <w:t xml:space="preserve">18. 86 </w:t>
            </w:r>
          </w:p>
        </w:tc>
      </w:tr>
      <w:tr>
        <w:trPr/>
        <w:tc>
          <w:tcPr>
            <w:tcW w:w="1081" w:type="dxa"/>
            <w:tcBorders/>
            <w:vAlign w:val="center"/>
          </w:tcPr>
          <w:p>
            <w:pPr>
              <w:pStyle w:val="TableContents"/>
              <w:bidi w:val="0"/>
              <w:spacing w:before="0" w:after="283"/>
              <w:jc w:val="start"/>
              <w:rPr/>
            </w:pPr>
            <w:r>
              <w:rPr/>
              <w:t xml:space="preserve">NL </w:t>
            </w:r>
          </w:p>
        </w:tc>
        <w:tc>
          <w:tcPr>
            <w:tcW w:w="586" w:type="dxa"/>
            <w:tcBorders/>
            <w:vAlign w:val="center"/>
          </w:tcPr>
          <w:p>
            <w:pPr>
              <w:pStyle w:val="TableContents"/>
              <w:bidi w:val="0"/>
              <w:spacing w:before="0" w:after="283"/>
              <w:jc w:val="start"/>
              <w:rPr/>
            </w:pPr>
            <w:r>
              <w:rPr/>
              <w:t xml:space="preserve">14. 96 </w:t>
            </w:r>
          </w:p>
        </w:tc>
        <w:tc>
          <w:tcPr>
            <w:tcW w:w="586" w:type="dxa"/>
            <w:tcBorders/>
            <w:vAlign w:val="center"/>
          </w:tcPr>
          <w:p>
            <w:pPr>
              <w:pStyle w:val="TableContents"/>
              <w:bidi w:val="0"/>
              <w:spacing w:before="0" w:after="283"/>
              <w:jc w:val="start"/>
              <w:rPr/>
            </w:pPr>
            <w:r>
              <w:rPr/>
              <w:t xml:space="preserve">16. 28 </w:t>
            </w:r>
          </w:p>
        </w:tc>
        <w:tc>
          <w:tcPr>
            <w:tcW w:w="586" w:type="dxa"/>
            <w:tcBorders/>
            <w:vAlign w:val="center"/>
          </w:tcPr>
          <w:p>
            <w:pPr>
              <w:pStyle w:val="TableContents"/>
              <w:bidi w:val="0"/>
              <w:spacing w:before="0" w:after="283"/>
              <w:jc w:val="start"/>
              <w:rPr/>
            </w:pPr>
            <w:r>
              <w:rPr/>
              <w:t xml:space="preserve">6. 74 </w:t>
            </w:r>
          </w:p>
        </w:tc>
        <w:tc>
          <w:tcPr>
            <w:tcW w:w="586" w:type="dxa"/>
            <w:tcBorders/>
            <w:vAlign w:val="center"/>
          </w:tcPr>
          <w:p>
            <w:pPr>
              <w:pStyle w:val="TableContents"/>
              <w:bidi w:val="0"/>
              <w:spacing w:before="0" w:after="283"/>
              <w:jc w:val="start"/>
              <w:rPr/>
            </w:pPr>
            <w:r>
              <w:rPr/>
              <w:t xml:space="preserve">9. 26 </w:t>
            </w:r>
          </w:p>
        </w:tc>
        <w:tc>
          <w:tcPr>
            <w:tcW w:w="586" w:type="dxa"/>
            <w:tcBorders/>
            <w:vAlign w:val="center"/>
          </w:tcPr>
          <w:p>
            <w:pPr>
              <w:pStyle w:val="TableContents"/>
              <w:bidi w:val="0"/>
              <w:spacing w:before="0" w:after="283"/>
              <w:jc w:val="start"/>
              <w:rPr/>
            </w:pPr>
            <w:r>
              <w:rPr/>
              <w:t xml:space="preserve">10. 05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14. 01 </w:t>
            </w:r>
          </w:p>
        </w:tc>
        <w:tc>
          <w:tcPr>
            <w:tcW w:w="586" w:type="dxa"/>
            <w:tcBorders/>
            <w:vAlign w:val="center"/>
          </w:tcPr>
          <w:p>
            <w:pPr>
              <w:pStyle w:val="TableContents"/>
              <w:bidi w:val="0"/>
              <w:spacing w:before="0" w:after="283"/>
              <w:jc w:val="start"/>
              <w:rPr/>
            </w:pPr>
            <w:r>
              <w:rPr/>
              <w:t xml:space="preserve">16. 67 </w:t>
            </w:r>
          </w:p>
        </w:tc>
        <w:tc>
          <w:tcPr>
            <w:tcW w:w="586" w:type="dxa"/>
            <w:tcBorders/>
            <w:vAlign w:val="center"/>
          </w:tcPr>
          <w:p>
            <w:pPr>
              <w:pStyle w:val="TableContents"/>
              <w:bidi w:val="0"/>
              <w:spacing w:before="0" w:after="283"/>
              <w:jc w:val="start"/>
              <w:rPr/>
            </w:pPr>
            <w:r>
              <w:rPr/>
              <w:t xml:space="preserve">8. 66 </w:t>
            </w:r>
          </w:p>
        </w:tc>
        <w:tc>
          <w:tcPr>
            <w:tcW w:w="586" w:type="dxa"/>
            <w:tcBorders/>
            <w:vAlign w:val="center"/>
          </w:tcPr>
          <w:p>
            <w:pPr>
              <w:pStyle w:val="TableContents"/>
              <w:bidi w:val="0"/>
              <w:spacing w:before="0" w:after="283"/>
              <w:jc w:val="start"/>
              <w:rPr/>
            </w:pPr>
            <w:r>
              <w:rPr/>
              <w:t xml:space="preserve">10. 8 </w:t>
            </w:r>
          </w:p>
        </w:tc>
        <w:tc>
          <w:tcPr>
            <w:tcW w:w="631" w:type="dxa"/>
            <w:tcBorders/>
            <w:vAlign w:val="center"/>
          </w:tcPr>
          <w:p>
            <w:pPr>
              <w:pStyle w:val="TableContents"/>
              <w:bidi w:val="0"/>
              <w:spacing w:before="0" w:after="283"/>
              <w:jc w:val="start"/>
              <w:rPr/>
            </w:pPr>
            <w:r>
              <w:rPr/>
              <w:t xml:space="preserve">11. 02 </w:t>
            </w:r>
          </w:p>
        </w:tc>
      </w:tr>
      <w:tr>
        <w:trPr/>
        <w:tc>
          <w:tcPr>
            <w:tcW w:w="1081" w:type="dxa"/>
            <w:tcBorders/>
            <w:vAlign w:val="center"/>
          </w:tcPr>
          <w:p>
            <w:pPr>
              <w:pStyle w:val="TableContents"/>
              <w:bidi w:val="0"/>
              <w:spacing w:before="0" w:after="283"/>
              <w:jc w:val="start"/>
              <w:rPr/>
            </w:pPr>
            <w:r>
              <w:rPr/>
              <w:t xml:space="preserve">NT </w:t>
            </w:r>
          </w:p>
        </w:tc>
        <w:tc>
          <w:tcPr>
            <w:tcW w:w="586" w:type="dxa"/>
            <w:tcBorders/>
            <w:vAlign w:val="center"/>
          </w:tcPr>
          <w:p>
            <w:pPr>
              <w:pStyle w:val="TableContents"/>
              <w:bidi w:val="0"/>
              <w:spacing w:before="0" w:after="283"/>
              <w:jc w:val="start"/>
              <w:rPr/>
            </w:pPr>
            <w:r>
              <w:rPr/>
              <w:t xml:space="preserve">24. 69 </w:t>
            </w:r>
          </w:p>
        </w:tc>
        <w:tc>
          <w:tcPr>
            <w:tcW w:w="586" w:type="dxa"/>
            <w:tcBorders/>
            <w:vAlign w:val="center"/>
          </w:tcPr>
          <w:p>
            <w:pPr>
              <w:pStyle w:val="TableContents"/>
              <w:bidi w:val="0"/>
              <w:spacing w:before="0" w:after="283"/>
              <w:jc w:val="start"/>
              <w:rPr/>
            </w:pPr>
            <w:r>
              <w:rPr/>
              <w:t xml:space="preserve">24. 5 </w:t>
            </w:r>
          </w:p>
        </w:tc>
        <w:tc>
          <w:tcPr>
            <w:tcW w:w="586" w:type="dxa"/>
            <w:tcBorders/>
            <w:vAlign w:val="center"/>
          </w:tcPr>
          <w:p>
            <w:pPr>
              <w:pStyle w:val="TableContents"/>
              <w:bidi w:val="0"/>
              <w:spacing w:before="0" w:after="283"/>
              <w:jc w:val="start"/>
              <w:rPr/>
            </w:pPr>
            <w:r>
              <w:rPr/>
              <w:t xml:space="preserve">19. 28 </w:t>
            </w:r>
          </w:p>
        </w:tc>
        <w:tc>
          <w:tcPr>
            <w:tcW w:w="586" w:type="dxa"/>
            <w:tcBorders/>
            <w:vAlign w:val="center"/>
          </w:tcPr>
          <w:p>
            <w:pPr>
              <w:pStyle w:val="TableContents"/>
              <w:bidi w:val="0"/>
              <w:spacing w:before="0" w:after="283"/>
              <w:jc w:val="start"/>
              <w:rPr/>
            </w:pPr>
            <w:r>
              <w:rPr/>
              <w:t xml:space="preserve">16. 58 </w:t>
            </w:r>
          </w:p>
        </w:tc>
        <w:tc>
          <w:tcPr>
            <w:tcW w:w="586" w:type="dxa"/>
            <w:tcBorders/>
            <w:vAlign w:val="center"/>
          </w:tcPr>
          <w:p>
            <w:pPr>
              <w:pStyle w:val="TableContents"/>
              <w:bidi w:val="0"/>
              <w:spacing w:before="0" w:after="283"/>
              <w:jc w:val="start"/>
              <w:rPr/>
            </w:pPr>
            <w:r>
              <w:rPr/>
              <w:t xml:space="preserve">4. 67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29. 63 </w:t>
            </w:r>
          </w:p>
        </w:tc>
        <w:tc>
          <w:tcPr>
            <w:tcW w:w="586" w:type="dxa"/>
            <w:tcBorders/>
            <w:vAlign w:val="center"/>
          </w:tcPr>
          <w:p>
            <w:pPr>
              <w:pStyle w:val="TableContents"/>
              <w:bidi w:val="0"/>
              <w:spacing w:before="0" w:after="283"/>
              <w:jc w:val="start"/>
              <w:rPr/>
            </w:pPr>
            <w:r>
              <w:rPr/>
              <w:t xml:space="preserve">24. 5 </w:t>
            </w:r>
          </w:p>
        </w:tc>
        <w:tc>
          <w:tcPr>
            <w:tcW w:w="586" w:type="dxa"/>
            <w:tcBorders/>
            <w:vAlign w:val="center"/>
          </w:tcPr>
          <w:p>
            <w:pPr>
              <w:pStyle w:val="TableContents"/>
              <w:bidi w:val="0"/>
              <w:spacing w:before="0" w:after="283"/>
              <w:jc w:val="start"/>
              <w:rPr/>
            </w:pPr>
            <w:r>
              <w:rPr/>
              <w:t xml:space="preserve">24. 1 </w:t>
            </w:r>
          </w:p>
        </w:tc>
        <w:tc>
          <w:tcPr>
            <w:tcW w:w="586" w:type="dxa"/>
            <w:tcBorders/>
            <w:vAlign w:val="center"/>
          </w:tcPr>
          <w:p>
            <w:pPr>
              <w:pStyle w:val="TableContents"/>
              <w:bidi w:val="0"/>
              <w:spacing w:before="0" w:after="283"/>
              <w:jc w:val="start"/>
              <w:rPr/>
            </w:pPr>
            <w:r>
              <w:rPr/>
              <w:t xml:space="preserve">16. 58 </w:t>
            </w:r>
          </w:p>
        </w:tc>
        <w:tc>
          <w:tcPr>
            <w:tcW w:w="631" w:type="dxa"/>
            <w:tcBorders/>
            <w:vAlign w:val="center"/>
          </w:tcPr>
          <w:p>
            <w:pPr>
              <w:pStyle w:val="TableContents"/>
              <w:bidi w:val="0"/>
              <w:spacing w:before="0" w:after="283"/>
              <w:jc w:val="start"/>
              <w:rPr/>
            </w:pPr>
            <w:r>
              <w:rPr/>
              <w:t xml:space="preserve">11. 68 </w:t>
            </w:r>
          </w:p>
        </w:tc>
      </w:tr>
      <w:tr>
        <w:trPr/>
        <w:tc>
          <w:tcPr>
            <w:tcW w:w="1081" w:type="dxa"/>
            <w:tcBorders/>
            <w:vAlign w:val="center"/>
          </w:tcPr>
          <w:p>
            <w:pPr>
              <w:pStyle w:val="TableContents"/>
              <w:bidi w:val="0"/>
              <w:spacing w:before="0" w:after="283"/>
              <w:jc w:val="start"/>
              <w:rPr/>
            </w:pPr>
            <w:r>
              <w:rPr/>
              <w:t xml:space="preserve">NU </w:t>
            </w:r>
          </w:p>
        </w:tc>
        <w:tc>
          <w:tcPr>
            <w:tcW w:w="58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3. 56 </w:t>
            </w:r>
          </w:p>
        </w:tc>
        <w:tc>
          <w:tcPr>
            <w:tcW w:w="586" w:type="dxa"/>
            <w:tcBorders/>
            <w:vAlign w:val="center"/>
          </w:tcPr>
          <w:p>
            <w:pPr>
              <w:pStyle w:val="TableContents"/>
              <w:bidi w:val="0"/>
              <w:spacing w:before="0" w:after="283"/>
              <w:jc w:val="start"/>
              <w:rPr/>
            </w:pPr>
            <w:r>
              <w:rPr/>
              <w:t xml:space="preserve">3. 48 </w:t>
            </w:r>
          </w:p>
        </w:tc>
        <w:tc>
          <w:tcPr>
            <w:tcW w:w="58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0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7. 11 </w:t>
            </w:r>
          </w:p>
        </w:tc>
        <w:tc>
          <w:tcPr>
            <w:tcW w:w="586" w:type="dxa"/>
            <w:tcBorders/>
            <w:vAlign w:val="center"/>
          </w:tcPr>
          <w:p>
            <w:pPr>
              <w:pStyle w:val="TableContents"/>
              <w:bidi w:val="0"/>
              <w:spacing w:before="0" w:after="283"/>
              <w:jc w:val="start"/>
              <w:rPr/>
            </w:pPr>
            <w:r>
              <w:rPr/>
              <w:t xml:space="preserve">3. 48 </w:t>
            </w:r>
          </w:p>
        </w:tc>
        <w:tc>
          <w:tcPr>
            <w:tcW w:w="586" w:type="dxa"/>
            <w:tcBorders/>
            <w:vAlign w:val="center"/>
          </w:tcPr>
          <w:p>
            <w:pPr>
              <w:pStyle w:val="TableContents"/>
              <w:bidi w:val="0"/>
              <w:spacing w:before="0" w:after="283"/>
              <w:jc w:val="start"/>
              <w:rPr/>
            </w:pPr>
            <w:r>
              <w:rPr/>
              <w:t xml:space="preserve">20. 57 </w:t>
            </w:r>
          </w:p>
        </w:tc>
        <w:tc>
          <w:tcPr>
            <w:tcW w:w="631" w:type="dxa"/>
            <w:tcBorders/>
            <w:vAlign w:val="center"/>
          </w:tcPr>
          <w:p>
            <w:pPr>
              <w:pStyle w:val="TableContents"/>
              <w:bidi w:val="0"/>
              <w:spacing w:before="0" w:after="283"/>
              <w:jc w:val="start"/>
              <w:rPr/>
            </w:pPr>
            <w:r>
              <w:rPr/>
              <w:t xml:space="preserve">0 </w:t>
            </w:r>
          </w:p>
        </w:tc>
      </w:tr>
      <w:tr>
        <w:trPr/>
        <w:tc>
          <w:tcPr>
            <w:tcW w:w="1081" w:type="dxa"/>
            <w:tcBorders/>
            <w:vAlign w:val="center"/>
          </w:tcPr>
          <w:p>
            <w:pPr>
              <w:pStyle w:val="TableContents"/>
              <w:bidi w:val="0"/>
              <w:spacing w:before="0" w:after="283"/>
              <w:jc w:val="start"/>
              <w:rPr/>
            </w:pPr>
            <w:r>
              <w:rPr/>
              <w:t xml:space="preserve">YT </w:t>
            </w:r>
          </w:p>
        </w:tc>
        <w:tc>
          <w:tcPr>
            <w:tcW w:w="586" w:type="dxa"/>
            <w:tcBorders/>
            <w:vAlign w:val="center"/>
          </w:tcPr>
          <w:p>
            <w:pPr>
              <w:pStyle w:val="TableContents"/>
              <w:bidi w:val="0"/>
              <w:spacing w:before="0" w:after="283"/>
              <w:jc w:val="start"/>
              <w:rPr/>
            </w:pPr>
            <w:r>
              <w:rPr/>
              <w:t xml:space="preserve">9. 86 </w:t>
            </w:r>
          </w:p>
        </w:tc>
        <w:tc>
          <w:tcPr>
            <w:tcW w:w="586" w:type="dxa"/>
            <w:tcBorders/>
            <w:vAlign w:val="center"/>
          </w:tcPr>
          <w:p>
            <w:pPr>
              <w:pStyle w:val="TableContents"/>
              <w:bidi w:val="0"/>
              <w:spacing w:before="0" w:after="283"/>
              <w:jc w:val="start"/>
              <w:rPr/>
            </w:pPr>
            <w:r>
              <w:rPr/>
              <w:t xml:space="preserve">0 </w:t>
            </w:r>
          </w:p>
        </w:tc>
        <w:tc>
          <w:tcPr>
            <w:tcW w:w="586" w:type="dxa"/>
            <w:tcBorders/>
            <w:vAlign w:val="center"/>
          </w:tcPr>
          <w:p>
            <w:pPr>
              <w:pStyle w:val="TableContents"/>
              <w:bidi w:val="0"/>
              <w:spacing w:before="0" w:after="283"/>
              <w:jc w:val="start"/>
              <w:rPr/>
            </w:pPr>
            <w:r>
              <w:rPr/>
              <w:t xml:space="preserve">6. 64 </w:t>
            </w:r>
          </w:p>
        </w:tc>
        <w:tc>
          <w:tcPr>
            <w:tcW w:w="586" w:type="dxa"/>
            <w:tcBorders/>
            <w:vAlign w:val="center"/>
          </w:tcPr>
          <w:p>
            <w:pPr>
              <w:pStyle w:val="TableContents"/>
              <w:bidi w:val="0"/>
              <w:spacing w:before="0" w:after="283"/>
              <w:jc w:val="start"/>
              <w:rPr/>
            </w:pPr>
            <w:r>
              <w:rPr/>
              <w:t xml:space="preserve">13. 08 </w:t>
            </w:r>
          </w:p>
        </w:tc>
        <w:tc>
          <w:tcPr>
            <w:tcW w:w="586" w:type="dxa"/>
            <w:tcBorders/>
            <w:vAlign w:val="center"/>
          </w:tcPr>
          <w:p>
            <w:pPr>
              <w:pStyle w:val="TableContents"/>
              <w:bidi w:val="0"/>
              <w:spacing w:before="0" w:after="283"/>
              <w:jc w:val="start"/>
              <w:rPr/>
            </w:pPr>
            <w:r>
              <w:rPr/>
              <w:t xml:space="preserve">29. 13 </w:t>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9. 86 </w:t>
            </w:r>
          </w:p>
        </w:tc>
        <w:tc>
          <w:tcPr>
            <w:tcW w:w="586" w:type="dxa"/>
            <w:tcBorders/>
            <w:vAlign w:val="center"/>
          </w:tcPr>
          <w:p>
            <w:pPr>
              <w:pStyle w:val="TableContents"/>
              <w:bidi w:val="0"/>
              <w:spacing w:before="0" w:after="283"/>
              <w:jc w:val="start"/>
              <w:rPr/>
            </w:pPr>
            <w:r>
              <w:rPr/>
              <w:t xml:space="preserve">6. 64 </w:t>
            </w:r>
          </w:p>
        </w:tc>
        <w:tc>
          <w:tcPr>
            <w:tcW w:w="586" w:type="dxa"/>
            <w:tcBorders/>
            <w:vAlign w:val="center"/>
          </w:tcPr>
          <w:p>
            <w:pPr>
              <w:pStyle w:val="TableContents"/>
              <w:bidi w:val="0"/>
              <w:spacing w:before="0" w:after="283"/>
              <w:jc w:val="start"/>
              <w:rPr/>
            </w:pPr>
            <w:r>
              <w:rPr/>
              <w:t xml:space="preserve">9. 95 </w:t>
            </w:r>
          </w:p>
        </w:tc>
        <w:tc>
          <w:tcPr>
            <w:tcW w:w="586" w:type="dxa"/>
            <w:tcBorders/>
            <w:vAlign w:val="center"/>
          </w:tcPr>
          <w:p>
            <w:pPr>
              <w:pStyle w:val="TableContents"/>
              <w:bidi w:val="0"/>
              <w:spacing w:before="0" w:after="283"/>
              <w:jc w:val="start"/>
              <w:rPr/>
            </w:pPr>
            <w:r>
              <w:rPr/>
              <w:t xml:space="preserve">9. 81 </w:t>
            </w:r>
          </w:p>
        </w:tc>
        <w:tc>
          <w:tcPr>
            <w:tcW w:w="631" w:type="dxa"/>
            <w:tcBorders/>
            <w:vAlign w:val="center"/>
          </w:tcPr>
          <w:p>
            <w:pPr>
              <w:pStyle w:val="TableContents"/>
              <w:bidi w:val="0"/>
              <w:spacing w:before="0" w:after="283"/>
              <w:jc w:val="start"/>
              <w:rPr/>
            </w:pPr>
            <w:r>
              <w:rPr/>
              <w:t xml:space="preserve">16. 18 </w:t>
            </w:r>
          </w:p>
        </w:tc>
      </w:tr>
    </w:tbl>
    <w:p>
      <w:pPr>
        <w:pStyle w:val="TextBody"/>
        <w:bidi w:val="0"/>
        <w:spacing w:before="0" w:after="283"/>
        <w:jc w:val="start"/>
        <w:rPr/>
      </w:pPr>
      <w:r>
        <w:rPr/>
        <w:t xml:space="preserve">Table #3 shows the incidence rates of Campylobacteriosis per 100, 000 of population per year in different countries (Kaakoush et al., 2015). </w:t>
      </w:r>
    </w:p>
    <w:p>
      <w:pPr>
        <w:pStyle w:val="TextBody"/>
        <w:bidi w:val="0"/>
        <w:spacing w:before="0" w:after="283"/>
        <w:jc w:val="start"/>
        <w:rPr/>
      </w:pPr>
      <w:r>
        <w:rPr/>
        <w:t xml:space="preserve">Table #3: </w:t>
      </w:r>
    </w:p>
    <w:tbl>
      <w:tblPr>
        <w:tblW w:w="7095" w:type="dxa"/>
        <w:jc w:val="start"/>
        <w:tblInd w:w="0" w:type="dxa"/>
        <w:tblLayout w:type="fixed"/>
        <w:tblCellMar>
          <w:top w:w="28" w:type="dxa"/>
          <w:start w:w="28" w:type="dxa"/>
          <w:bottom w:w="28" w:type="dxa"/>
          <w:end w:w="28" w:type="dxa"/>
        </w:tblCellMar>
      </w:tblPr>
      <w:tblGrid>
        <w:gridCol w:w="1648"/>
        <w:gridCol w:w="4145"/>
        <w:gridCol w:w="1302"/>
      </w:tblGrid>
      <w:tr>
        <w:trPr/>
        <w:tc>
          <w:tcPr>
            <w:tcW w:w="1648" w:type="dxa"/>
            <w:tcBorders/>
            <w:vAlign w:val="center"/>
          </w:tcPr>
          <w:p>
            <w:pPr>
              <w:pStyle w:val="TableContents"/>
              <w:bidi w:val="0"/>
              <w:spacing w:before="0" w:after="283"/>
              <w:jc w:val="start"/>
              <w:rPr/>
            </w:pPr>
            <w:r>
              <w:rPr/>
              <w:t xml:space="preserve">Country </w:t>
            </w:r>
          </w:p>
        </w:tc>
        <w:tc>
          <w:tcPr>
            <w:tcW w:w="4145" w:type="dxa"/>
            <w:tcBorders/>
            <w:vAlign w:val="center"/>
          </w:tcPr>
          <w:p>
            <w:pPr>
              <w:pStyle w:val="TableContents"/>
              <w:bidi w:val="0"/>
              <w:spacing w:before="0" w:after="283"/>
              <w:jc w:val="start"/>
              <w:rPr/>
            </w:pPr>
            <w:r>
              <w:rPr/>
              <w:t xml:space="preserve">incidence rates per 100, 000 of population per year </w:t>
            </w:r>
          </w:p>
        </w:tc>
        <w:tc>
          <w:tcPr>
            <w:tcW w:w="1302" w:type="dxa"/>
            <w:tcBorders/>
            <w:vAlign w:val="center"/>
          </w:tcPr>
          <w:p>
            <w:pPr>
              <w:pStyle w:val="TableContents"/>
              <w:bidi w:val="0"/>
              <w:spacing w:before="0" w:after="283"/>
              <w:jc w:val="start"/>
              <w:rPr/>
            </w:pPr>
            <w:r>
              <w:rPr/>
              <w:t xml:space="preserve">Year(s) </w:t>
            </w:r>
          </w:p>
        </w:tc>
      </w:tr>
      <w:tr>
        <w:trPr/>
        <w:tc>
          <w:tcPr>
            <w:tcW w:w="1648" w:type="dxa"/>
            <w:tcBorders/>
            <w:vAlign w:val="center"/>
          </w:tcPr>
          <w:p>
            <w:pPr>
              <w:pStyle w:val="TableContents"/>
              <w:bidi w:val="0"/>
              <w:spacing w:before="0" w:after="283"/>
              <w:jc w:val="start"/>
              <w:rPr/>
            </w:pPr>
            <w:r>
              <w:rPr/>
              <w:t xml:space="preserve">United States </w:t>
            </w:r>
          </w:p>
        </w:tc>
        <w:tc>
          <w:tcPr>
            <w:tcW w:w="4145" w:type="dxa"/>
            <w:tcBorders/>
            <w:vAlign w:val="center"/>
          </w:tcPr>
          <w:p>
            <w:pPr>
              <w:pStyle w:val="TableContents"/>
              <w:bidi w:val="0"/>
              <w:spacing w:before="0" w:after="283"/>
              <w:jc w:val="start"/>
              <w:rPr/>
            </w:pPr>
            <w:r>
              <w:rPr/>
              <w:t xml:space="preserve">14. 3 </w:t>
            </w:r>
          </w:p>
        </w:tc>
        <w:tc>
          <w:tcPr>
            <w:tcW w:w="1302" w:type="dxa"/>
            <w:tcBorders/>
            <w:vAlign w:val="center"/>
          </w:tcPr>
          <w:p>
            <w:pPr>
              <w:pStyle w:val="TableContents"/>
              <w:bidi w:val="0"/>
              <w:spacing w:before="0" w:after="283"/>
              <w:jc w:val="start"/>
              <w:rPr/>
            </w:pPr>
            <w:r>
              <w:rPr/>
              <w:t xml:space="preserve">1996 to 2012 </w:t>
            </w:r>
          </w:p>
        </w:tc>
      </w:tr>
      <w:tr>
        <w:trPr/>
        <w:tc>
          <w:tcPr>
            <w:tcW w:w="1648" w:type="dxa"/>
            <w:tcBorders/>
            <w:vAlign w:val="center"/>
          </w:tcPr>
          <w:p>
            <w:pPr>
              <w:pStyle w:val="TableContents"/>
              <w:bidi w:val="0"/>
              <w:spacing w:before="0" w:after="283"/>
              <w:jc w:val="start"/>
              <w:rPr/>
            </w:pPr>
            <w:r>
              <w:rPr/>
              <w:t xml:space="preserve">Guatemala, </w:t>
            </w:r>
          </w:p>
        </w:tc>
        <w:tc>
          <w:tcPr>
            <w:tcW w:w="4145" w:type="dxa"/>
            <w:tcBorders/>
            <w:vAlign w:val="center"/>
          </w:tcPr>
          <w:p>
            <w:pPr>
              <w:pStyle w:val="TableContents"/>
              <w:bidi w:val="0"/>
              <w:spacing w:before="0" w:after="283"/>
              <w:jc w:val="start"/>
              <w:rPr/>
            </w:pPr>
            <w:r>
              <w:rPr/>
              <w:t xml:space="preserve">185. 5 to 1, 288. 8 (children) </w:t>
            </w:r>
          </w:p>
        </w:tc>
        <w:tc>
          <w:tcPr>
            <w:tcW w:w="1302" w:type="dxa"/>
            <w:tcBorders/>
            <w:vAlign w:val="center"/>
          </w:tcPr>
          <w:p>
            <w:pPr>
              <w:pStyle w:val="TableContents"/>
              <w:bidi w:val="0"/>
              <w:spacing w:before="0" w:after="283"/>
              <w:jc w:val="start"/>
              <w:rPr/>
            </w:pPr>
            <w:r>
              <w:rPr/>
              <w:t xml:space="preserve">2008 to 2012 </w:t>
            </w:r>
          </w:p>
        </w:tc>
      </w:tr>
      <w:tr>
        <w:trPr/>
        <w:tc>
          <w:tcPr>
            <w:tcW w:w="1648" w:type="dxa"/>
            <w:tcBorders/>
            <w:vAlign w:val="center"/>
          </w:tcPr>
          <w:p>
            <w:pPr>
              <w:pStyle w:val="TableContents"/>
              <w:bidi w:val="0"/>
              <w:spacing w:before="0" w:after="283"/>
              <w:jc w:val="start"/>
              <w:rPr/>
            </w:pPr>
            <w:r>
              <w:rPr/>
              <w:t xml:space="preserve">Barbados </w:t>
            </w:r>
          </w:p>
        </w:tc>
        <w:tc>
          <w:tcPr>
            <w:tcW w:w="4145" w:type="dxa"/>
            <w:tcBorders/>
            <w:vAlign w:val="center"/>
          </w:tcPr>
          <w:p>
            <w:pPr>
              <w:pStyle w:val="TableContents"/>
              <w:bidi w:val="0"/>
              <w:spacing w:before="0" w:after="283"/>
              <w:jc w:val="start"/>
              <w:rPr/>
            </w:pPr>
            <w:r>
              <w:rPr/>
              <w:t xml:space="preserve">5. 4 (inhabitants) </w:t>
            </w:r>
          </w:p>
        </w:tc>
        <w:tc>
          <w:tcPr>
            <w:tcW w:w="1302" w:type="dxa"/>
            <w:tcBorders/>
            <w:vAlign w:val="center"/>
          </w:tcPr>
          <w:p>
            <w:pPr>
              <w:pStyle w:val="TableContents"/>
              <w:bidi w:val="0"/>
              <w:spacing w:before="0" w:after="283"/>
              <w:jc w:val="start"/>
              <w:rPr/>
            </w:pPr>
            <w:r>
              <w:rPr/>
              <w:t xml:space="preserve">2000 </w:t>
            </w:r>
          </w:p>
        </w:tc>
      </w:tr>
      <w:tr>
        <w:trPr/>
        <w:tc>
          <w:tcPr>
            <w:tcW w:w="1648" w:type="dxa"/>
            <w:tcBorders/>
            <w:vAlign w:val="center"/>
          </w:tcPr>
          <w:p>
            <w:pPr>
              <w:pStyle w:val="TableContents"/>
              <w:bidi w:val="0"/>
              <w:spacing w:before="0" w:after="283"/>
              <w:jc w:val="start"/>
              <w:rPr/>
            </w:pPr>
            <w:r>
              <w:rPr/>
              <w:t xml:space="preserve">Japan </w:t>
            </w:r>
          </w:p>
        </w:tc>
        <w:tc>
          <w:tcPr>
            <w:tcW w:w="4145" w:type="dxa"/>
            <w:tcBorders/>
            <w:vAlign w:val="center"/>
          </w:tcPr>
          <w:p>
            <w:pPr>
              <w:pStyle w:val="TableContents"/>
              <w:bidi w:val="0"/>
              <w:spacing w:before="0" w:after="283"/>
              <w:jc w:val="start"/>
              <w:rPr/>
            </w:pPr>
            <w:r>
              <w:rPr/>
              <w:t xml:space="preserve">1, 512 </w:t>
            </w:r>
          </w:p>
        </w:tc>
        <w:tc>
          <w:tcPr>
            <w:tcW w:w="1302" w:type="dxa"/>
            <w:tcBorders/>
            <w:vAlign w:val="center"/>
          </w:tcPr>
          <w:p>
            <w:pPr>
              <w:pStyle w:val="TableContents"/>
              <w:bidi w:val="0"/>
              <w:spacing w:before="0" w:after="283"/>
              <w:jc w:val="start"/>
              <w:rPr/>
            </w:pPr>
            <w:r>
              <w:rPr/>
              <w:t xml:space="preserve">2005 to 2006 </w:t>
            </w:r>
          </w:p>
        </w:tc>
      </w:tr>
      <w:tr>
        <w:trPr/>
        <w:tc>
          <w:tcPr>
            <w:tcW w:w="1648" w:type="dxa"/>
            <w:tcBorders/>
            <w:vAlign w:val="center"/>
          </w:tcPr>
          <w:p>
            <w:pPr>
              <w:pStyle w:val="TableContents"/>
              <w:bidi w:val="0"/>
              <w:spacing w:before="0" w:after="283"/>
              <w:jc w:val="start"/>
              <w:rPr/>
            </w:pPr>
            <w:r>
              <w:rPr/>
              <w:t xml:space="preserve">The Netherlands </w:t>
            </w:r>
          </w:p>
        </w:tc>
        <w:tc>
          <w:tcPr>
            <w:tcW w:w="4145" w:type="dxa"/>
            <w:tcBorders/>
            <w:vAlign w:val="center"/>
          </w:tcPr>
          <w:p>
            <w:pPr>
              <w:pStyle w:val="TableContents"/>
              <w:bidi w:val="0"/>
              <w:spacing w:before="0" w:after="283"/>
              <w:jc w:val="start"/>
              <w:rPr/>
            </w:pPr>
            <w:r>
              <w:rPr/>
              <w:t xml:space="preserve">52 </w:t>
            </w:r>
          </w:p>
        </w:tc>
        <w:tc>
          <w:tcPr>
            <w:tcW w:w="1302" w:type="dxa"/>
            <w:tcBorders/>
            <w:vAlign w:val="center"/>
          </w:tcPr>
          <w:p>
            <w:pPr>
              <w:pStyle w:val="TableContents"/>
              <w:bidi w:val="0"/>
              <w:spacing w:before="0" w:after="283"/>
              <w:jc w:val="start"/>
              <w:rPr/>
            </w:pPr>
            <w:r>
              <w:rPr/>
              <w:t xml:space="preserve">2011 </w:t>
            </w:r>
          </w:p>
        </w:tc>
      </w:tr>
      <w:tr>
        <w:trPr/>
        <w:tc>
          <w:tcPr>
            <w:tcW w:w="1648" w:type="dxa"/>
            <w:tcBorders/>
            <w:vAlign w:val="center"/>
          </w:tcPr>
          <w:p>
            <w:pPr>
              <w:pStyle w:val="TableContents"/>
              <w:bidi w:val="0"/>
              <w:spacing w:before="0" w:after="283"/>
              <w:jc w:val="start"/>
              <w:rPr/>
            </w:pPr>
            <w:r>
              <w:rPr/>
              <w:t xml:space="preserve">Poland </w:t>
            </w:r>
          </w:p>
        </w:tc>
        <w:tc>
          <w:tcPr>
            <w:tcW w:w="4145" w:type="dxa"/>
            <w:tcBorders/>
            <w:vAlign w:val="center"/>
          </w:tcPr>
          <w:p>
            <w:pPr>
              <w:pStyle w:val="TableContents"/>
              <w:bidi w:val="0"/>
              <w:spacing w:before="0" w:after="283"/>
              <w:jc w:val="start"/>
              <w:rPr/>
            </w:pPr>
            <w:r>
              <w:rPr/>
              <w:t xml:space="preserve">0. 92-1. 12 (inhabitants) </w:t>
            </w:r>
          </w:p>
        </w:tc>
        <w:tc>
          <w:tcPr>
            <w:tcW w:w="1302" w:type="dxa"/>
            <w:tcBorders/>
            <w:vAlign w:val="center"/>
          </w:tcPr>
          <w:p>
            <w:pPr>
              <w:pStyle w:val="TableContents"/>
              <w:bidi w:val="0"/>
              <w:spacing w:before="0" w:after="283"/>
              <w:jc w:val="start"/>
              <w:rPr/>
            </w:pPr>
            <w:r>
              <w:rPr/>
              <w:t xml:space="preserve">2001 to 2012 </w:t>
            </w:r>
          </w:p>
        </w:tc>
      </w:tr>
      <w:tr>
        <w:trPr/>
        <w:tc>
          <w:tcPr>
            <w:tcW w:w="1648" w:type="dxa"/>
            <w:tcBorders/>
            <w:vAlign w:val="center"/>
          </w:tcPr>
          <w:p>
            <w:pPr>
              <w:pStyle w:val="TableContents"/>
              <w:bidi w:val="0"/>
              <w:spacing w:before="0" w:after="283"/>
              <w:jc w:val="start"/>
              <w:rPr/>
            </w:pPr>
            <w:r>
              <w:rPr/>
              <w:t xml:space="preserve">Norway </w:t>
            </w:r>
          </w:p>
        </w:tc>
        <w:tc>
          <w:tcPr>
            <w:tcW w:w="4145" w:type="dxa"/>
            <w:tcBorders/>
            <w:vAlign w:val="center"/>
          </w:tcPr>
          <w:p>
            <w:pPr>
              <w:pStyle w:val="TableContents"/>
              <w:bidi w:val="0"/>
              <w:spacing w:before="0" w:after="283"/>
              <w:jc w:val="start"/>
              <w:rPr/>
            </w:pPr>
            <w:r>
              <w:rPr/>
              <w:t xml:space="preserve">30 </w:t>
            </w:r>
          </w:p>
        </w:tc>
        <w:tc>
          <w:tcPr>
            <w:tcW w:w="1302" w:type="dxa"/>
            <w:tcBorders/>
            <w:vAlign w:val="center"/>
          </w:tcPr>
          <w:p>
            <w:pPr>
              <w:pStyle w:val="TableContents"/>
              <w:bidi w:val="0"/>
              <w:spacing w:before="0" w:after="283"/>
              <w:jc w:val="start"/>
              <w:rPr/>
            </w:pPr>
            <w:r>
              <w:rPr/>
              <w:t xml:space="preserve">1993 to 2011 </w:t>
            </w:r>
          </w:p>
        </w:tc>
      </w:tr>
      <w:tr>
        <w:trPr/>
        <w:tc>
          <w:tcPr>
            <w:tcW w:w="1648" w:type="dxa"/>
            <w:tcBorders/>
            <w:vAlign w:val="center"/>
          </w:tcPr>
          <w:p>
            <w:pPr>
              <w:pStyle w:val="TableContents"/>
              <w:bidi w:val="0"/>
              <w:spacing w:before="0" w:after="283"/>
              <w:jc w:val="start"/>
              <w:rPr/>
            </w:pPr>
            <w:r>
              <w:rPr/>
              <w:t xml:space="preserve">Germany </w:t>
            </w:r>
          </w:p>
        </w:tc>
        <w:tc>
          <w:tcPr>
            <w:tcW w:w="4145" w:type="dxa"/>
            <w:tcBorders/>
            <w:vAlign w:val="center"/>
          </w:tcPr>
          <w:p>
            <w:pPr>
              <w:pStyle w:val="TableContents"/>
              <w:bidi w:val="0"/>
              <w:spacing w:before="0" w:after="283"/>
              <w:jc w:val="start"/>
              <w:rPr/>
            </w:pPr>
            <w:r>
              <w:rPr/>
              <w:t xml:space="preserve">53. 4 to 81. 4 (inhabitants) </w:t>
            </w:r>
          </w:p>
        </w:tc>
        <w:tc>
          <w:tcPr>
            <w:tcW w:w="1302" w:type="dxa"/>
            <w:tcBorders/>
            <w:vAlign w:val="center"/>
          </w:tcPr>
          <w:p>
            <w:pPr>
              <w:pStyle w:val="TableContents"/>
              <w:bidi w:val="0"/>
              <w:spacing w:before="0" w:after="283"/>
              <w:jc w:val="start"/>
              <w:rPr/>
            </w:pPr>
            <w:r>
              <w:rPr/>
              <w:t xml:space="preserve">2005 to 2011 </w:t>
            </w:r>
          </w:p>
        </w:tc>
      </w:tr>
      <w:tr>
        <w:trPr/>
        <w:tc>
          <w:tcPr>
            <w:tcW w:w="1648" w:type="dxa"/>
            <w:tcBorders/>
            <w:vAlign w:val="center"/>
          </w:tcPr>
          <w:p>
            <w:pPr>
              <w:pStyle w:val="TableContents"/>
              <w:bidi w:val="0"/>
              <w:spacing w:before="0" w:after="283"/>
              <w:jc w:val="start"/>
              <w:rPr/>
            </w:pPr>
            <w:r>
              <w:rPr/>
              <w:t xml:space="preserve">Israel </w:t>
            </w:r>
          </w:p>
        </w:tc>
        <w:tc>
          <w:tcPr>
            <w:tcW w:w="4145" w:type="dxa"/>
            <w:tcBorders/>
            <w:vAlign w:val="center"/>
          </w:tcPr>
          <w:p>
            <w:pPr>
              <w:pStyle w:val="TableContents"/>
              <w:bidi w:val="0"/>
              <w:spacing w:before="0" w:after="283"/>
              <w:jc w:val="start"/>
              <w:rPr/>
            </w:pPr>
            <w:r>
              <w:rPr/>
              <w:t xml:space="preserve">90. 99 </w:t>
            </w:r>
          </w:p>
        </w:tc>
        <w:tc>
          <w:tcPr>
            <w:tcW w:w="1302" w:type="dxa"/>
            <w:tcBorders/>
            <w:vAlign w:val="center"/>
          </w:tcPr>
          <w:p>
            <w:pPr>
              <w:pStyle w:val="TableContents"/>
              <w:bidi w:val="0"/>
              <w:spacing w:before="0" w:after="283"/>
              <w:jc w:val="start"/>
              <w:rPr/>
            </w:pPr>
            <w:r>
              <w:rPr/>
              <w:t xml:space="preserve">2010 </w:t>
            </w:r>
          </w:p>
        </w:tc>
      </w:tr>
      <w:tr>
        <w:trPr/>
        <w:tc>
          <w:tcPr>
            <w:tcW w:w="1648" w:type="dxa"/>
            <w:tcBorders/>
            <w:vAlign w:val="center"/>
          </w:tcPr>
          <w:p>
            <w:pPr>
              <w:pStyle w:val="TableContents"/>
              <w:bidi w:val="0"/>
              <w:spacing w:before="0" w:after="283"/>
              <w:jc w:val="start"/>
              <w:rPr/>
            </w:pPr>
            <w:r>
              <w:rPr/>
              <w:t xml:space="preserve">New Zealand </w:t>
            </w:r>
          </w:p>
        </w:tc>
        <w:tc>
          <w:tcPr>
            <w:tcW w:w="4145" w:type="dxa"/>
            <w:tcBorders/>
            <w:vAlign w:val="center"/>
          </w:tcPr>
          <w:p>
            <w:pPr>
              <w:pStyle w:val="TableContents"/>
              <w:bidi w:val="0"/>
              <w:spacing w:before="0" w:after="283"/>
              <w:jc w:val="start"/>
              <w:rPr/>
            </w:pPr>
            <w:r>
              <w:rPr/>
              <w:t xml:space="preserve">161. 5 </w:t>
            </w:r>
          </w:p>
        </w:tc>
        <w:tc>
          <w:tcPr>
            <w:tcW w:w="1302" w:type="dxa"/>
            <w:tcBorders/>
            <w:vAlign w:val="center"/>
          </w:tcPr>
          <w:p>
            <w:pPr>
              <w:pStyle w:val="TableContents"/>
              <w:bidi w:val="0"/>
              <w:spacing w:before="0" w:after="283"/>
              <w:jc w:val="start"/>
              <w:rPr/>
            </w:pPr>
            <w:r>
              <w:rPr/>
              <w:t xml:space="preserve">2008 </w:t>
            </w:r>
          </w:p>
        </w:tc>
      </w:tr>
      <w:tr>
        <w:trPr/>
        <w:tc>
          <w:tcPr>
            <w:tcW w:w="1648" w:type="dxa"/>
            <w:tcBorders/>
            <w:vAlign w:val="center"/>
          </w:tcPr>
          <w:p>
            <w:pPr>
              <w:pStyle w:val="TableContents"/>
              <w:bidi w:val="0"/>
              <w:spacing w:before="0" w:after="283"/>
              <w:jc w:val="start"/>
              <w:rPr/>
            </w:pPr>
            <w:r>
              <w:rPr/>
              <w:t xml:space="preserve">Denmark </w:t>
            </w:r>
          </w:p>
        </w:tc>
        <w:tc>
          <w:tcPr>
            <w:tcW w:w="4145" w:type="dxa"/>
            <w:tcBorders/>
            <w:vAlign w:val="center"/>
          </w:tcPr>
          <w:p>
            <w:pPr>
              <w:pStyle w:val="TableContents"/>
              <w:bidi w:val="0"/>
              <w:spacing w:before="0" w:after="283"/>
              <w:jc w:val="start"/>
              <w:rPr/>
            </w:pPr>
            <w:r>
              <w:rPr/>
              <w:t xml:space="preserve">42 </w:t>
            </w:r>
          </w:p>
        </w:tc>
        <w:tc>
          <w:tcPr>
            <w:tcW w:w="1302" w:type="dxa"/>
            <w:tcBorders/>
            <w:vAlign w:val="center"/>
          </w:tcPr>
          <w:p>
            <w:pPr>
              <w:pStyle w:val="TableContents"/>
              <w:bidi w:val="0"/>
              <w:spacing w:before="0" w:after="283"/>
              <w:jc w:val="start"/>
              <w:rPr/>
            </w:pPr>
            <w:r>
              <w:rPr/>
              <w:t xml:space="preserve">2009 to 2010 </w:t>
            </w:r>
          </w:p>
        </w:tc>
      </w:tr>
    </w:tbl>
    <w:p>
      <w:pPr>
        <w:pStyle w:val="TextBody"/>
        <w:bidi w:val="0"/>
        <w:spacing w:before="0" w:after="283"/>
        <w:jc w:val="start"/>
        <w:rPr/>
      </w:pPr>
      <w:r>
        <w:rPr/>
        <w:t xml:space="preserve">According to WHO, the estimated cases of Death due to Campylobacteriosis are from 0. 01% to 8. 8% depending on the population age, case definition and co-morbidity but most of the cases are related to sequelae of the Campylobacteriosis. The lower cases of death rate were in Germany 0. 01% collected from surveillance data. On the other hand, the highest cases of death were in Kenya among children under 5 years old with 8. 8% rate of death (WHO, 2012). </w:t>
      </w:r>
    </w:p>
    <w:p>
      <w:pPr>
        <w:pStyle w:val="Heading2"/>
        <w:bidi w:val="0"/>
        <w:jc w:val="start"/>
        <w:rPr/>
      </w:pPr>
      <w:r>
        <w:rPr/>
        <w:t xml:space="preserve">Incidence of Campylobacter in foods </w:t>
      </w:r>
    </w:p>
    <w:p>
      <w:pPr>
        <w:pStyle w:val="TextBody"/>
        <w:bidi w:val="0"/>
        <w:spacing w:before="0" w:after="283"/>
        <w:jc w:val="start"/>
        <w:rPr/>
      </w:pPr>
      <w:r>
        <w:rPr/>
        <w:t xml:space="preserve">Chicken meat is well known as a primary source of Campylobacter bacteria and the incidence of present </w:t>
      </w:r>
      <w:r>
        <w:rPr>
          <w:rStyle w:val="Emphasis"/>
        </w:rPr>
        <w:t xml:space="preserve">Campylobacter </w:t>
      </w:r>
      <w:r>
        <w:rPr/>
        <w:t xml:space="preserve">species in chicken meat is higher than any other type of meat. A study was made in Australia from 2007 to 2008 showed that the incidence of present of </w:t>
      </w:r>
      <w:r>
        <w:rPr>
          <w:rStyle w:val="Emphasis"/>
        </w:rPr>
        <w:t xml:space="preserve">Campylobacter </w:t>
      </w:r>
      <w:r>
        <w:rPr/>
        <w:t xml:space="preserve">in raw poultry is 84. 3% after the post rinse of the chicken carcass. They found that 90% of the raw chicken that being sold in groceries in south of Australia were contaminated with </w:t>
      </w:r>
      <w:r>
        <w:rPr>
          <w:rStyle w:val="Emphasis"/>
        </w:rPr>
        <w:t xml:space="preserve">Campylobacter </w:t>
      </w:r>
      <w:r>
        <w:rPr/>
        <w:t xml:space="preserve">. Moreover, they found that 72. 7% of chicken carcass was contaminated with </w:t>
      </w:r>
      <w:r>
        <w:rPr>
          <w:rStyle w:val="Emphasis"/>
        </w:rPr>
        <w:t xml:space="preserve">Campylobacter </w:t>
      </w:r>
      <w:r>
        <w:rPr/>
        <w:t xml:space="preserve">in New Zealand (Food Standards Australia &amp; New Zealand, 2013). </w:t>
      </w:r>
    </w:p>
    <w:p>
      <w:pPr>
        <w:pStyle w:val="TextBody"/>
        <w:bidi w:val="0"/>
        <w:spacing w:before="0" w:after="283"/>
        <w:jc w:val="start"/>
        <w:rPr/>
      </w:pPr>
      <w:r>
        <w:rPr/>
        <w:t xml:space="preserve">A survey was made in the European Union members in 2008 showed that 75. 8% of broiler carcasses were positive for </w:t>
      </w:r>
      <w:r>
        <w:rPr>
          <w:rStyle w:val="Emphasis"/>
        </w:rPr>
        <w:t xml:space="preserve">Campylobacter </w:t>
      </w:r>
      <w:r>
        <w:rPr/>
        <w:t xml:space="preserve">spp. ( </w:t>
      </w:r>
      <w:r>
        <w:rPr>
          <w:rStyle w:val="Emphasis"/>
        </w:rPr>
        <w:t xml:space="preserve">Campylobacter jejuni </w:t>
      </w:r>
      <w:r>
        <w:rPr/>
        <w:t xml:space="preserve">was 51% and </w:t>
      </w:r>
      <w:r>
        <w:rPr>
          <w:rStyle w:val="Emphasis"/>
        </w:rPr>
        <w:t xml:space="preserve">Campylobacter coli </w:t>
      </w:r>
      <w:r>
        <w:rPr/>
        <w:t xml:space="preserve">was 35. 5%). It is very common to have positive detection of </w:t>
      </w:r>
      <w:r>
        <w:rPr>
          <w:rStyle w:val="Emphasis"/>
        </w:rPr>
        <w:t xml:space="preserve">Campylobacter </w:t>
      </w:r>
      <w:r>
        <w:rPr/>
        <w:t xml:space="preserve">spp. in the live animals such as cattle, pigs, and poultry (Food Standards Australia &amp; New Zealand, 2013). </w:t>
      </w:r>
    </w:p>
    <w:p>
      <w:pPr>
        <w:pStyle w:val="TextBody"/>
        <w:bidi w:val="0"/>
        <w:spacing w:before="0" w:after="283"/>
        <w:jc w:val="start"/>
        <w:rPr/>
      </w:pPr>
      <w:r>
        <w:rPr/>
        <w:t xml:space="preserve">A survey was made in the United Kingdom from 2007 to 2008 showed that 65. 2% of poultry in groceries stores were positive for </w:t>
      </w:r>
      <w:r>
        <w:rPr>
          <w:rStyle w:val="Emphasis"/>
        </w:rPr>
        <w:t xml:space="preserve">Campylobacter </w:t>
      </w:r>
      <w:r>
        <w:rPr/>
        <w:t xml:space="preserve">spp. ( </w:t>
      </w:r>
      <w:r>
        <w:rPr>
          <w:rStyle w:val="Emphasis"/>
        </w:rPr>
        <w:t xml:space="preserve">Campylobacter jejuni </w:t>
      </w:r>
      <w:r>
        <w:rPr/>
        <w:t xml:space="preserve">was 52. 9% and </w:t>
      </w:r>
      <w:r>
        <w:rPr>
          <w:rStyle w:val="Emphasis"/>
        </w:rPr>
        <w:t xml:space="preserve">Campylobacter coli </w:t>
      </w:r>
      <w:r>
        <w:rPr/>
        <w:t xml:space="preserve">was 47. 1%) (Food Standards Australia &amp; New Zealand, 2013). </w:t>
      </w:r>
    </w:p>
    <w:p>
      <w:pPr>
        <w:pStyle w:val="TextBody"/>
        <w:bidi w:val="0"/>
        <w:spacing w:before="0" w:after="283"/>
        <w:jc w:val="start"/>
        <w:rPr/>
      </w:pPr>
      <w:r>
        <w:rPr/>
        <w:t xml:space="preserve">A survey was made in Ireland from 2001 to 2002 showed that 49. 9% of raw poultry were positive for </w:t>
      </w:r>
      <w:r>
        <w:rPr>
          <w:rStyle w:val="Emphasis"/>
        </w:rPr>
        <w:t xml:space="preserve">Campylobacter </w:t>
      </w:r>
      <w:r>
        <w:rPr/>
        <w:t xml:space="preserve">spp. and 37. 5% of raw Turkey were positive too (Food Standards Australia &amp; New Zealand, 2013). </w:t>
      </w:r>
    </w:p>
    <w:p>
      <w:pPr>
        <w:pStyle w:val="TextBody"/>
        <w:bidi w:val="0"/>
        <w:spacing w:before="0" w:after="283"/>
        <w:jc w:val="start"/>
        <w:rPr/>
      </w:pPr>
      <w:r>
        <w:rPr/>
        <w:t xml:space="preserve">From 2007 to 2008, the detection of Campylobacter spp. in the retail stores for chicken breasts increase dramatically and that can be due of changing the sampling method from skin on in 2007 to skin off in 2008. Only 2 samples of ground beef were positive for Campylobacter spp. but no pork samples had positive detection for Campylobacter spp.(PHAC, 2010). </w:t>
      </w:r>
    </w:p>
    <w:p>
      <w:pPr>
        <w:pStyle w:val="Heading2"/>
        <w:bidi w:val="0"/>
        <w:jc w:val="start"/>
        <w:rPr/>
      </w:pPr>
      <w:r>
        <w:rPr/>
        <w:t xml:space="preserve">Sequelae linked with infection </w:t>
      </w:r>
    </w:p>
    <w:p>
      <w:pPr>
        <w:pStyle w:val="TextBody"/>
        <w:bidi w:val="0"/>
        <w:spacing w:before="0" w:after="283"/>
        <w:jc w:val="start"/>
        <w:rPr/>
      </w:pPr>
      <w:r>
        <w:rPr/>
        <w:t xml:space="preserve">A study was made in Arizona, USA on 2018 on the sequelaes after the </w:t>
      </w:r>
      <w:r>
        <w:rPr>
          <w:rStyle w:val="Emphasis"/>
        </w:rPr>
        <w:t xml:space="preserve">Campylobacter enteric </w:t>
      </w:r>
      <w:r>
        <w:rPr/>
        <w:t xml:space="preserve">infection. The post-infectious sequelae (PIS) is represented in gastrointestinal disorders, joint disorders, and neurological disorders. The aims of the study were to determine the rate of the PIS incidence in Arizona, USA and to understand the long term outcomes of getting </w:t>
      </w:r>
      <w:r>
        <w:rPr>
          <w:rStyle w:val="Emphasis"/>
        </w:rPr>
        <w:t xml:space="preserve">Campylobacter </w:t>
      </w:r>
      <w:r>
        <w:rPr/>
        <w:t xml:space="preserve">infection. The study shows that performing a large scale study will gave a better idea on PIS incidence and can improve the quality management system at the hospitals (Barrett et al., 2018) </w:t>
      </w:r>
    </w:p>
    <w:p>
      <w:pPr>
        <w:pStyle w:val="TextBody"/>
        <w:bidi w:val="0"/>
        <w:spacing w:before="0" w:after="283"/>
        <w:jc w:val="start"/>
        <w:rPr/>
      </w:pPr>
      <w:r>
        <w:rPr/>
        <w:t xml:space="preserve">Another study was performed on 2001 on </w:t>
      </w:r>
      <w:r>
        <w:rPr>
          <w:rStyle w:val="Emphasis"/>
        </w:rPr>
        <w:t xml:space="preserve">Campylobacter jejuni </w:t>
      </w:r>
      <w:r>
        <w:rPr/>
        <w:t xml:space="preserve">infections trends due of the antimicrobial agent-resistant </w:t>
      </w:r>
      <w:r>
        <w:rPr>
          <w:rStyle w:val="Emphasis"/>
        </w:rPr>
        <w:t xml:space="preserve">Campylobacter </w:t>
      </w:r>
      <w:r>
        <w:rPr/>
        <w:t xml:space="preserve">strains. The root cause of this issue is due of using antibiotics during animal farms. That led to appearance of post-infectious complication of </w:t>
      </w:r>
      <w:r>
        <w:rPr>
          <w:rStyle w:val="Emphasis"/>
        </w:rPr>
        <w:t xml:space="preserve">Campylobacter jejuni </w:t>
      </w:r>
      <w:r>
        <w:rPr/>
        <w:t xml:space="preserve">infection called Guillain-Barré syndrome (GBS). In United States, about 1 to 2 people in 100, 000 of population get affected by GBS every year. However, the risk of getting GBS after </w:t>
      </w:r>
      <w:r>
        <w:rPr>
          <w:rStyle w:val="Emphasis"/>
        </w:rPr>
        <w:t xml:space="preserve">C. jejuni </w:t>
      </w:r>
      <w:r>
        <w:rPr/>
        <w:t xml:space="preserve">infection is very rare. Individual with the HLA-B27 histocompatibility antigen can develop reactive arthritis after the </w:t>
      </w:r>
      <w:r>
        <w:rPr>
          <w:rStyle w:val="Emphasis"/>
        </w:rPr>
        <w:t xml:space="preserve">Campylobacter </w:t>
      </w:r>
      <w:r>
        <w:rPr/>
        <w:t xml:space="preserve">infection by several weeks. Other people can develop hemolytic uremic syndrome, uveitis, hemolytic anemia, carditis, and encephalopathy as sequelae after the actual infection (Acheson &amp; Mishu Allos, 2001) </w:t>
      </w:r>
    </w:p>
    <w:p>
      <w:pPr>
        <w:pStyle w:val="TextBody"/>
        <w:bidi w:val="0"/>
        <w:spacing w:before="0" w:after="283"/>
        <w:jc w:val="start"/>
        <w:rPr/>
      </w:pPr>
      <w:r>
        <w:rPr/>
        <w:t xml:space="preserve">In 2010, a research was made on sequelae of Foodborne Illness Caused by different 5 pathogens in Australia circa. Most of the sequelae are represented on bowel syndrome, uillain-Barré irritable, syndrome, hemolytic uremic syndrome, irritable, and reactive arthritis. The researcher found that </w:t>
      </w:r>
      <w:r>
        <w:rPr>
          <w:rStyle w:val="Emphasis"/>
        </w:rPr>
        <w:t xml:space="preserve">Campylobacter </w:t>
      </w:r>
      <w:r>
        <w:rPr/>
        <w:t xml:space="preserve">spp. infection was responsible for more than 80% of the infection cases and if the world can reduce the </w:t>
      </w:r>
      <w:r>
        <w:rPr>
          <w:rStyle w:val="Emphasis"/>
        </w:rPr>
        <w:t xml:space="preserve">Campylobacter </w:t>
      </w:r>
      <w:r>
        <w:rPr/>
        <w:t xml:space="preserve">spp. infection cases, that will help to reduce the sequelae that comes from Foodborne Illness (Ford et al., 2014) </w:t>
      </w:r>
    </w:p>
    <w:p>
      <w:pPr>
        <w:pStyle w:val="Heading2"/>
        <w:bidi w:val="0"/>
        <w:jc w:val="start"/>
        <w:rPr/>
      </w:pPr>
      <w:r>
        <w:rPr/>
        <w:t xml:space="preserve">Conclusions, recommendations and suggestions </w:t>
      </w:r>
    </w:p>
    <w:p>
      <w:pPr>
        <w:pStyle w:val="TextBody"/>
        <w:bidi w:val="0"/>
        <w:spacing w:before="0" w:after="283"/>
        <w:jc w:val="start"/>
        <w:rPr/>
      </w:pPr>
      <w:r>
        <w:rPr/>
        <w:t xml:space="preserve">As </w:t>
      </w:r>
      <w:r>
        <w:rPr>
          <w:rStyle w:val="Emphasis"/>
        </w:rPr>
        <w:t xml:space="preserve">Campylobacter </w:t>
      </w:r>
      <w:r>
        <w:rPr/>
        <w:t xml:space="preserve">spp. are one of the main reasons for foodborne illness around the world, more research projects and surveillance monitoring will be required to protect human from Campylobacteriosis. More surveillance data need to be collected from hospitals and labs to find the actual number of Campylobacteriosis infection and death related to it. Using fast accurate methods to detect Campylobacter spp. will help in prevent any foodborne illness outbreak or have it in control as soon as possible. Methods such as RT-PCR and chromogenic media can be used as they provide rapid and accurate results. </w:t>
      </w:r>
    </w:p>
    <w:p>
      <w:pPr>
        <w:pStyle w:val="TextBody"/>
        <w:bidi w:val="0"/>
        <w:spacing w:before="0" w:after="283"/>
        <w:jc w:val="start"/>
        <w:rPr/>
      </w:pPr>
      <w:r>
        <w:rPr/>
        <w:t xml:space="preserve">Share public awareness among all members of the community and especially in the developing countries on how the Campylobacter infection can be prevented such as proper cooking of the food, avoiding any cross contamination between cooked and raw foods, and washing hands after touch animals. That information can be shared to public by different types of media, handing flyers, and teaching in school. Food Voluntary organizations can educate members of the community in the developing countries that have high rate of Campylobacteriosis infection. </w:t>
      </w:r>
    </w:p>
    <w:p>
      <w:pPr>
        <w:pStyle w:val="TextBody"/>
        <w:bidi w:val="0"/>
        <w:spacing w:before="0" w:after="283"/>
        <w:jc w:val="start"/>
        <w:rPr/>
      </w:pPr>
      <w:r>
        <w:rPr/>
        <w:t xml:space="preserve">Increase the monitoring of food plants that produce ready to eat products by the government agencies such as CFIA in Canada, FDA in USA, EFSA in Europe, and others agencies.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Acheson &amp; Mishu Allos (2001). </w:t>
      </w:r>
      <w:r>
        <w:rPr>
          <w:rStyle w:val="Emphasis"/>
        </w:rPr>
        <w:t xml:space="preserve">Campylobacter jejuni </w:t>
      </w:r>
      <w:r>
        <w:rPr/>
        <w:t xml:space="preserve">Infections: Update on Emerging Issues and Trends. </w:t>
      </w:r>
      <w:r>
        <w:rPr>
          <w:rStyle w:val="Emphasis"/>
        </w:rPr>
        <w:t xml:space="preserve">Clinical Infectious Diseases </w:t>
      </w:r>
      <w:r>
        <w:rPr/>
        <w:t xml:space="preserve">32(8), 1201–1206 </w:t>
      </w:r>
    </w:p>
    <w:p>
      <w:pPr>
        <w:pStyle w:val="TextBody"/>
        <w:numPr>
          <w:ilvl w:val="0"/>
          <w:numId w:val="1"/>
        </w:numPr>
        <w:tabs>
          <w:tab w:val="clear" w:pos="1134"/>
          <w:tab w:val="left" w:pos="707" w:leader="none"/>
        </w:tabs>
        <w:bidi w:val="0"/>
        <w:spacing w:before="0" w:after="0"/>
        <w:ind w:start="707" w:hanging="283"/>
        <w:jc w:val="start"/>
        <w:rPr/>
      </w:pPr>
      <w:r>
        <w:rPr/>
        <w:t xml:space="preserve">Barrett, Carr, L. Bell &amp; Pogreba-Brown (2018). Post-infectious sequelae after </w:t>
      </w:r>
      <w:r>
        <w:rPr>
          <w:rStyle w:val="Emphasis"/>
        </w:rPr>
        <w:t xml:space="preserve">Campylobacter </w:t>
      </w:r>
      <w:r>
        <w:rPr/>
        <w:t xml:space="preserve">enteric infection: a pilot study in Maricopa County, Arizona, USA. </w:t>
      </w:r>
      <w:r>
        <w:rPr>
          <w:rStyle w:val="Emphasis"/>
        </w:rPr>
        <w:t xml:space="preserve">Pilot and Feasibility Studies </w:t>
      </w:r>
      <w:r>
        <w:rPr/>
        <w:t xml:space="preserve">4: 142 </w:t>
      </w:r>
    </w:p>
    <w:p>
      <w:pPr>
        <w:pStyle w:val="TextBody"/>
        <w:numPr>
          <w:ilvl w:val="0"/>
          <w:numId w:val="1"/>
        </w:numPr>
        <w:tabs>
          <w:tab w:val="clear" w:pos="1134"/>
          <w:tab w:val="left" w:pos="707" w:leader="none"/>
        </w:tabs>
        <w:bidi w:val="0"/>
        <w:spacing w:before="0" w:after="0"/>
        <w:ind w:start="707" w:hanging="283"/>
        <w:jc w:val="start"/>
        <w:rPr/>
      </w:pPr>
      <w:r>
        <w:rPr/>
        <w:t xml:space="preserve">CDC (2018). Reports of Selected </w:t>
      </w:r>
      <w:r>
        <w:rPr>
          <w:rStyle w:val="Emphasis"/>
        </w:rPr>
        <w:t xml:space="preserve">Campylobacter </w:t>
      </w:r>
      <w:r>
        <w:rPr/>
        <w:t xml:space="preserve">Outbreak Investigations. Retrieved from https://www. cdc. gov/campylobacter/outbreaks/outbreaks. html </w:t>
      </w:r>
    </w:p>
    <w:p>
      <w:pPr>
        <w:pStyle w:val="TextBody"/>
        <w:numPr>
          <w:ilvl w:val="0"/>
          <w:numId w:val="1"/>
        </w:numPr>
        <w:tabs>
          <w:tab w:val="clear" w:pos="1134"/>
          <w:tab w:val="left" w:pos="707" w:leader="none"/>
        </w:tabs>
        <w:bidi w:val="0"/>
        <w:spacing w:before="0" w:after="0"/>
        <w:ind w:start="707" w:hanging="283"/>
        <w:jc w:val="start"/>
        <w:rPr/>
      </w:pPr>
      <w:r>
        <w:rPr/>
        <w:t xml:space="preserve">Centre for Food Safety (2007). Microbiological Guidelines for Ready-to-eat Food. Retrieved from http://blpd. dss. go. th/micro/ready. pdf </w:t>
      </w:r>
    </w:p>
    <w:p>
      <w:pPr>
        <w:pStyle w:val="TextBody"/>
        <w:numPr>
          <w:ilvl w:val="0"/>
          <w:numId w:val="1"/>
        </w:numPr>
        <w:tabs>
          <w:tab w:val="clear" w:pos="1134"/>
          <w:tab w:val="left" w:pos="707" w:leader="none"/>
        </w:tabs>
        <w:bidi w:val="0"/>
        <w:spacing w:before="0" w:after="0"/>
        <w:ind w:start="707" w:hanging="283"/>
        <w:jc w:val="start"/>
        <w:rPr/>
      </w:pPr>
      <w:r>
        <w:rPr/>
        <w:t xml:space="preserve">Clark, C. G., Price, L., Ahmed, R., Woodward, D. L., Melito, P. L., Rodgers, F. G…. Ellis, A. (2003). Characterization of Waterborne Outbreak–associated </w:t>
      </w:r>
      <w:r>
        <w:rPr>
          <w:rStyle w:val="Emphasis"/>
        </w:rPr>
        <w:t xml:space="preserve">Campylobacter jejuni </w:t>
      </w:r>
      <w:r>
        <w:rPr/>
        <w:t xml:space="preserve">, Walkerton, Ontario. </w:t>
      </w:r>
      <w:r>
        <w:rPr>
          <w:rStyle w:val="Emphasis"/>
        </w:rPr>
        <w:t xml:space="preserve">Emerging Infectious Diseases </w:t>
      </w:r>
      <w:r>
        <w:rPr/>
        <w:t xml:space="preserve">, 9(10), 1232-1241. https://dx. doi. org/10. 3201/eid0910. 020584. </w:t>
      </w:r>
    </w:p>
    <w:p>
      <w:pPr>
        <w:pStyle w:val="TextBody"/>
        <w:numPr>
          <w:ilvl w:val="0"/>
          <w:numId w:val="1"/>
        </w:numPr>
        <w:tabs>
          <w:tab w:val="clear" w:pos="1134"/>
          <w:tab w:val="left" w:pos="707" w:leader="none"/>
        </w:tabs>
        <w:bidi w:val="0"/>
        <w:spacing w:before="0" w:after="0"/>
        <w:ind w:start="707" w:hanging="283"/>
        <w:jc w:val="start"/>
        <w:rPr/>
      </w:pPr>
      <w:r>
        <w:rPr/>
        <w:t xml:space="preserve">Food Standards Australia &amp; New Zealand (2013). </w:t>
      </w:r>
      <w:r>
        <w:rPr>
          <w:rStyle w:val="Emphasis"/>
        </w:rPr>
        <w:t xml:space="preserve">Campylobacter </w:t>
      </w:r>
      <w:r>
        <w:rPr/>
        <w:t xml:space="preserve">species.  Retrieved from https://www. foodstandards. gov. au/publications/Documents/Campylobacter%20species%20-%20dec%202013. doc </w:t>
      </w:r>
    </w:p>
    <w:p>
      <w:pPr>
        <w:pStyle w:val="TextBody"/>
        <w:numPr>
          <w:ilvl w:val="0"/>
          <w:numId w:val="1"/>
        </w:numPr>
        <w:tabs>
          <w:tab w:val="clear" w:pos="1134"/>
          <w:tab w:val="left" w:pos="707" w:leader="none"/>
        </w:tabs>
        <w:bidi w:val="0"/>
        <w:spacing w:before="0" w:after="0"/>
        <w:ind w:start="707" w:hanging="283"/>
        <w:jc w:val="start"/>
        <w:rPr/>
      </w:pPr>
      <w:r>
        <w:rPr/>
        <w:t xml:space="preserve">Food Standards Australia New Zealand (2016). Compendium of Microbiological Criteria for Food. Retrieved from https://www. foodstandards. gov. au/publications/Documents/Compedium%20of%20Microbiological%20Criteria/Compendium%20of%20Microbiological%20Criteria. pdf </w:t>
      </w:r>
    </w:p>
    <w:p>
      <w:pPr>
        <w:pStyle w:val="TextBody"/>
        <w:numPr>
          <w:ilvl w:val="0"/>
          <w:numId w:val="1"/>
        </w:numPr>
        <w:tabs>
          <w:tab w:val="clear" w:pos="1134"/>
          <w:tab w:val="left" w:pos="707" w:leader="none"/>
        </w:tabs>
        <w:bidi w:val="0"/>
        <w:spacing w:before="0" w:after="0"/>
        <w:ind w:start="707" w:hanging="283"/>
        <w:jc w:val="start"/>
        <w:rPr/>
      </w:pPr>
      <w:r>
        <w:rPr/>
        <w:t xml:space="preserve">Ford, Kirk M, Glass K, Hall G (2014). Equelae of Foodborne Illness Caused by 5 Pathogens, Australia, Circa 2010. 8 (11). Retrieved from https://wwwnc. cdc. gov/eid/syn/en/article/20/11/13-1316. htm#suggestedcitation </w:t>
      </w:r>
    </w:p>
    <w:p>
      <w:pPr>
        <w:pStyle w:val="TextBody"/>
        <w:numPr>
          <w:ilvl w:val="0"/>
          <w:numId w:val="1"/>
        </w:numPr>
        <w:tabs>
          <w:tab w:val="clear" w:pos="1134"/>
          <w:tab w:val="left" w:pos="707" w:leader="none"/>
        </w:tabs>
        <w:bidi w:val="0"/>
        <w:spacing w:before="0" w:after="0"/>
        <w:ind w:start="707" w:hanging="283"/>
        <w:jc w:val="start"/>
        <w:rPr/>
      </w:pPr>
      <w:r>
        <w:rPr/>
        <w:t xml:space="preserve">Government of Canada (1995). Outbreak of </w:t>
      </w:r>
      <w:r>
        <w:rPr>
          <w:rStyle w:val="Emphasis"/>
        </w:rPr>
        <w:t xml:space="preserve">campylobacter </w:t>
      </w:r>
      <w:r>
        <w:rPr/>
        <w:t xml:space="preserve">infection among farm workers: an occupational hazard. Retrieved from http://publications. gc. ca/site/archivee-archived. html? url= http://publications. gc. ca/collections/Collection/H12-21-21-17E. pdf </w:t>
      </w:r>
    </w:p>
    <w:p>
      <w:pPr>
        <w:pStyle w:val="TextBody"/>
        <w:numPr>
          <w:ilvl w:val="0"/>
          <w:numId w:val="1"/>
        </w:numPr>
        <w:tabs>
          <w:tab w:val="clear" w:pos="1134"/>
          <w:tab w:val="left" w:pos="707" w:leader="none"/>
        </w:tabs>
        <w:bidi w:val="0"/>
        <w:spacing w:before="0" w:after="0"/>
        <w:ind w:start="707" w:hanging="283"/>
        <w:jc w:val="start"/>
        <w:rPr/>
      </w:pPr>
      <w:r>
        <w:rPr/>
        <w:t xml:space="preserve">Healio (2008). </w:t>
      </w:r>
      <w:r>
        <w:rPr>
          <w:rStyle w:val="Emphasis"/>
        </w:rPr>
        <w:t xml:space="preserve">Campylobacter </w:t>
      </w:r>
      <w:r>
        <w:rPr/>
        <w:t xml:space="preserve">outbreak among mountain bikers linked to mud. Retrieved from https://www. healio. com/infectious-disease/emerging-diseases/news/print/infectious-disease-news/%7B32ebeb35-7f81-4565-8177-e3aa65fdf5d9%7D/campylobacter-outbreak-among-mountain-bikers-linked-to-mud </w:t>
      </w:r>
    </w:p>
    <w:p>
      <w:pPr>
        <w:pStyle w:val="TextBody"/>
        <w:numPr>
          <w:ilvl w:val="0"/>
          <w:numId w:val="1"/>
        </w:numPr>
        <w:tabs>
          <w:tab w:val="clear" w:pos="1134"/>
          <w:tab w:val="left" w:pos="707" w:leader="none"/>
        </w:tabs>
        <w:bidi w:val="0"/>
        <w:spacing w:before="0" w:after="0"/>
        <w:ind w:start="707" w:hanging="283"/>
        <w:jc w:val="start"/>
        <w:rPr/>
      </w:pPr>
      <w:r>
        <w:rPr/>
        <w:t xml:space="preserve">Health link BC (2017). </w:t>
      </w:r>
      <w:r>
        <w:rPr>
          <w:rStyle w:val="Emphasis"/>
        </w:rPr>
        <w:t xml:space="preserve">Campylobacter </w:t>
      </w:r>
      <w:r>
        <w:rPr/>
        <w:t xml:space="preserve">Infection. Retrieved from https://www. healthlinkbc. ca/healthlinkbc-files/campylobacter-infection </w:t>
      </w:r>
    </w:p>
    <w:p>
      <w:pPr>
        <w:pStyle w:val="TextBody"/>
        <w:numPr>
          <w:ilvl w:val="0"/>
          <w:numId w:val="1"/>
        </w:numPr>
        <w:tabs>
          <w:tab w:val="clear" w:pos="1134"/>
          <w:tab w:val="left" w:pos="707" w:leader="none"/>
        </w:tabs>
        <w:bidi w:val="0"/>
        <w:spacing w:before="0" w:after="0"/>
        <w:ind w:start="707" w:hanging="283"/>
        <w:jc w:val="start"/>
        <w:rPr/>
      </w:pPr>
      <w:r>
        <w:rPr/>
        <w:t xml:space="preserve">Health Canada (2010). Microbial Guidelines for Ready-to-Eat Foods – A Guide for the Conveyance Industry and Environmental Health Officers (EHO). Retrieved from http://publications. gc. ca/collections/collection_2014/sc-hc/H164-167-2013-eng. pdf </w:t>
      </w:r>
    </w:p>
    <w:p>
      <w:pPr>
        <w:pStyle w:val="TextBody"/>
        <w:numPr>
          <w:ilvl w:val="0"/>
          <w:numId w:val="1"/>
        </w:numPr>
        <w:tabs>
          <w:tab w:val="clear" w:pos="1134"/>
          <w:tab w:val="left" w:pos="707" w:leader="none"/>
        </w:tabs>
        <w:bidi w:val="0"/>
        <w:spacing w:before="0" w:after="0"/>
        <w:ind w:start="707" w:hanging="283"/>
        <w:jc w:val="start"/>
        <w:rPr/>
      </w:pPr>
      <w:r>
        <w:rPr/>
        <w:t xml:space="preserve">Jackson, b., zegarra, j., lópez-gatell, h., sejvar, j., arzate, f., waterman, s., . . . mahon, b. (2014). Binational outbreak of Guillain–Barré syndrome associated with </w:t>
      </w:r>
      <w:r>
        <w:rPr>
          <w:rStyle w:val="Emphasis"/>
        </w:rPr>
        <w:t xml:space="preserve">Campylobacter jejuni </w:t>
      </w:r>
      <w:r>
        <w:rPr/>
        <w:t xml:space="preserve">infection, Mexico and USA, 2011. </w:t>
      </w:r>
      <w:r>
        <w:rPr>
          <w:rStyle w:val="Emphasis"/>
        </w:rPr>
        <w:t xml:space="preserve">Epidemiology and Infection </w:t>
      </w:r>
      <w:r>
        <w:rPr/>
        <w:t xml:space="preserve">, 142(5) </w:t>
      </w:r>
    </w:p>
    <w:p>
      <w:pPr>
        <w:pStyle w:val="TextBody"/>
        <w:numPr>
          <w:ilvl w:val="0"/>
          <w:numId w:val="1"/>
        </w:numPr>
        <w:tabs>
          <w:tab w:val="clear" w:pos="1134"/>
          <w:tab w:val="left" w:pos="707" w:leader="none"/>
        </w:tabs>
        <w:bidi w:val="0"/>
        <w:spacing w:before="0" w:after="0"/>
        <w:ind w:start="707" w:hanging="283"/>
        <w:jc w:val="start"/>
        <w:rPr/>
      </w:pPr>
      <w:r>
        <w:rPr/>
        <w:t xml:space="preserve">Kaakoush, N. O., Castaño-Rodríguez, N., Mitchell, H. M., &amp; Man, S. M. (2015). Global Epidemiology of </w:t>
      </w:r>
      <w:r>
        <w:rPr>
          <w:rStyle w:val="Emphasis"/>
        </w:rPr>
        <w:t xml:space="preserve">Campylobacter </w:t>
      </w:r>
      <w:r>
        <w:rPr/>
        <w:t xml:space="preserve">Infection. </w:t>
      </w:r>
      <w:r>
        <w:rPr>
          <w:rStyle w:val="Emphasis"/>
        </w:rPr>
        <w:t xml:space="preserve">Clinical microbiology reviews </w:t>
      </w:r>
      <w:r>
        <w:rPr/>
        <w:t xml:space="preserve">, 28(3), 687-720. </w:t>
      </w:r>
    </w:p>
    <w:p>
      <w:pPr>
        <w:pStyle w:val="TextBody"/>
        <w:numPr>
          <w:ilvl w:val="0"/>
          <w:numId w:val="1"/>
        </w:numPr>
        <w:tabs>
          <w:tab w:val="clear" w:pos="1134"/>
          <w:tab w:val="left" w:pos="707" w:leader="none"/>
        </w:tabs>
        <w:bidi w:val="0"/>
        <w:spacing w:before="0" w:after="0"/>
        <w:ind w:start="707" w:hanging="283"/>
        <w:jc w:val="start"/>
        <w:rPr/>
      </w:pPr>
      <w:r>
        <w:rPr/>
        <w:t xml:space="preserve">Marler Clark (2018). About </w:t>
      </w:r>
      <w:r>
        <w:rPr>
          <w:rStyle w:val="Emphasis"/>
        </w:rPr>
        <w:t xml:space="preserve">Campylobacter </w:t>
      </w:r>
      <w:r>
        <w:rPr/>
        <w:t xml:space="preserve">. Retrieved from https://about-campylobacter. com/about-campylobacter </w:t>
      </w:r>
    </w:p>
    <w:p>
      <w:pPr>
        <w:pStyle w:val="TextBody"/>
        <w:numPr>
          <w:ilvl w:val="0"/>
          <w:numId w:val="1"/>
        </w:numPr>
        <w:tabs>
          <w:tab w:val="clear" w:pos="1134"/>
          <w:tab w:val="left" w:pos="707" w:leader="none"/>
        </w:tabs>
        <w:bidi w:val="0"/>
        <w:spacing w:before="0" w:after="0"/>
        <w:ind w:start="707" w:hanging="283"/>
        <w:jc w:val="start"/>
        <w:rPr/>
      </w:pPr>
      <w:r>
        <w:rPr/>
        <w:t xml:space="preserve">Merrit A, Miles R, Bites J (1999). An outbreak of </w:t>
      </w:r>
      <w:r>
        <w:rPr>
          <w:rStyle w:val="Emphasis"/>
        </w:rPr>
        <w:t xml:space="preserve">Campylobacter enteritis </w:t>
      </w:r>
      <w:r>
        <w:rPr/>
        <w:t xml:space="preserve">on an island resort, north Queensland. Communicable Diseases Intelligence. 23(8). Retrieved from http://www. health. gov. au/internet/main/publishing. nsf/content/cda-pubs-cdi-1999-cdi2308-cdi2308b. htm </w:t>
      </w:r>
    </w:p>
    <w:p>
      <w:pPr>
        <w:pStyle w:val="TextBody"/>
        <w:numPr>
          <w:ilvl w:val="0"/>
          <w:numId w:val="1"/>
        </w:numPr>
        <w:tabs>
          <w:tab w:val="clear" w:pos="1134"/>
          <w:tab w:val="left" w:pos="707" w:leader="none"/>
        </w:tabs>
        <w:bidi w:val="0"/>
        <w:spacing w:before="0" w:after="0"/>
        <w:ind w:start="707" w:hanging="283"/>
        <w:jc w:val="start"/>
        <w:rPr/>
      </w:pPr>
      <w:r>
        <w:rPr/>
        <w:t xml:space="preserve">Parry A., Fearley E., and Denehy  E. (2012). ‘ Surprise’: Outbreak of </w:t>
      </w:r>
      <w:r>
        <w:rPr>
          <w:rStyle w:val="Emphasis"/>
        </w:rPr>
        <w:t xml:space="preserve">Campylobacter </w:t>
      </w:r>
      <w:r>
        <w:rPr/>
        <w:t xml:space="preserve">infection associated with chicken liver pâté at a surprise birthday party, Adelaide, Australia, 2012. Outbreak Investigation Report. Retrieved from https://ojs. wpro. who. int/ojs/index. php/wpsar/article/viewFile/168/188 </w:t>
      </w:r>
    </w:p>
    <w:p>
      <w:pPr>
        <w:pStyle w:val="TextBody"/>
        <w:numPr>
          <w:ilvl w:val="0"/>
          <w:numId w:val="1"/>
        </w:numPr>
        <w:tabs>
          <w:tab w:val="clear" w:pos="1134"/>
          <w:tab w:val="left" w:pos="707" w:leader="none"/>
        </w:tabs>
        <w:bidi w:val="0"/>
        <w:spacing w:before="0" w:after="0"/>
        <w:ind w:start="707" w:hanging="283"/>
        <w:jc w:val="start"/>
        <w:rPr/>
      </w:pPr>
      <w:r>
        <w:rPr/>
        <w:t xml:space="preserve">PHAC (2010). Archived – C-EnterNet 2008 Annual Report – </w:t>
      </w:r>
      <w:r>
        <w:rPr>
          <w:rStyle w:val="Emphasis"/>
        </w:rPr>
        <w:t xml:space="preserve">Campylobacter </w:t>
      </w:r>
      <w:r>
        <w:rPr/>
        <w:t xml:space="preserve">. Retrieved from http://www. phac-aspc. gc. ca/foodnetcanada/pubs/2008/campylobacter-eng. php </w:t>
      </w:r>
    </w:p>
    <w:p>
      <w:pPr>
        <w:pStyle w:val="TextBody"/>
        <w:numPr>
          <w:ilvl w:val="0"/>
          <w:numId w:val="1"/>
        </w:numPr>
        <w:tabs>
          <w:tab w:val="clear" w:pos="1134"/>
          <w:tab w:val="left" w:pos="707" w:leader="none"/>
        </w:tabs>
        <w:bidi w:val="0"/>
        <w:spacing w:before="0" w:after="0"/>
        <w:ind w:start="707" w:hanging="283"/>
        <w:jc w:val="start"/>
        <w:rPr/>
      </w:pPr>
      <w:r>
        <w:rPr/>
        <w:t xml:space="preserve">Public health England (2018). </w:t>
      </w:r>
      <w:r>
        <w:rPr>
          <w:rStyle w:val="Emphasis"/>
        </w:rPr>
        <w:t xml:space="preserve">Campylobacter </w:t>
      </w:r>
      <w:r>
        <w:rPr/>
        <w:t xml:space="preserve">data 2007 to 2016. Retrieved from https://assets. publishing. service. gov. uk/government/uploads/system/uploads/attachment_data/file/711938/campylobacter_data_2007_to_2016_may_2018. pdf </w:t>
      </w:r>
    </w:p>
    <w:p>
      <w:pPr>
        <w:pStyle w:val="TextBody"/>
        <w:numPr>
          <w:ilvl w:val="0"/>
          <w:numId w:val="1"/>
        </w:numPr>
        <w:tabs>
          <w:tab w:val="clear" w:pos="1134"/>
          <w:tab w:val="left" w:pos="707" w:leader="none"/>
        </w:tabs>
        <w:bidi w:val="0"/>
        <w:spacing w:before="0" w:after="0"/>
        <w:ind w:start="707" w:hanging="283"/>
        <w:jc w:val="start"/>
        <w:rPr/>
      </w:pPr>
      <w:r>
        <w:rPr/>
        <w:t xml:space="preserve">Public health of Ontario (2018). Campylobacteriosis. Retrieved from https://www. publichealthontario. ca/en/BrowseByTopic/InfectiousDiseases/Pages/IDLandingPages/Campylobacteriosis. aspx </w:t>
      </w:r>
    </w:p>
    <w:p>
      <w:pPr>
        <w:pStyle w:val="TextBody"/>
        <w:numPr>
          <w:ilvl w:val="0"/>
          <w:numId w:val="1"/>
        </w:numPr>
        <w:tabs>
          <w:tab w:val="clear" w:pos="1134"/>
          <w:tab w:val="left" w:pos="707" w:leader="none"/>
        </w:tabs>
        <w:bidi w:val="0"/>
        <w:spacing w:before="0" w:after="0"/>
        <w:ind w:start="707" w:hanging="283"/>
        <w:jc w:val="start"/>
        <w:rPr/>
      </w:pPr>
      <w:r>
        <w:rPr/>
        <w:t xml:space="preserve">Quetz J, Lima I, Havt A, Prata M, Cavalcante P, Medeiros P, Cid D, Moraes M, Rey L, Soares A, Mota R, Weigl B, Guerrant R, Lima A (2012). Campylobacter jejuni infection and virulence-associated genes in children with moderate to severe diarrhoea admitted to emergency rooms in northeastern Brazil. Journal of medical microbiology. 61(4): 507-513 </w:t>
      </w:r>
    </w:p>
    <w:p>
      <w:pPr>
        <w:pStyle w:val="TextBody"/>
        <w:numPr>
          <w:ilvl w:val="0"/>
          <w:numId w:val="1"/>
        </w:numPr>
        <w:tabs>
          <w:tab w:val="clear" w:pos="1134"/>
          <w:tab w:val="left" w:pos="707" w:leader="none"/>
        </w:tabs>
        <w:bidi w:val="0"/>
        <w:spacing w:before="0" w:after="0"/>
        <w:ind w:start="707" w:hanging="283"/>
        <w:jc w:val="start"/>
        <w:rPr/>
      </w:pPr>
      <w:r>
        <w:rPr/>
        <w:t xml:space="preserve">WHO (2012). The global view of campylobacteriosis. Retrieved from http://apps. who. int/iris/bitstream/handle/10665/80751/9789241564601_eng. pdf; jsessionid= DC878BFC6DEACB218828895D7DEB3F8D? sequence= 1 </w:t>
      </w:r>
    </w:p>
    <w:p>
      <w:pPr>
        <w:pStyle w:val="TextBody"/>
        <w:numPr>
          <w:ilvl w:val="0"/>
          <w:numId w:val="1"/>
        </w:numPr>
        <w:tabs>
          <w:tab w:val="clear" w:pos="1134"/>
          <w:tab w:val="left" w:pos="707" w:leader="none"/>
        </w:tabs>
        <w:bidi w:val="0"/>
        <w:spacing w:before="0" w:after="283"/>
        <w:ind w:start="707" w:hanging="283"/>
        <w:jc w:val="start"/>
        <w:rPr/>
      </w:pPr>
      <w:r>
        <w:rPr/>
        <w:t xml:space="preserve">Zhang, M., Li, Q., He, L., Meng, F., Gu, Y., Zheng, M., …Zhang, J. (2010). Association study between an outbreak of Guillain-Barre syndrome in Jilin, China, and preceding </w:t>
      </w:r>
      <w:r>
        <w:rPr>
          <w:rStyle w:val="Emphasis"/>
        </w:rPr>
        <w:t xml:space="preserve">Campylobacter jejuni </w:t>
      </w:r>
      <w:r>
        <w:rPr/>
        <w:t xml:space="preserve">infection. </w:t>
      </w:r>
      <w:r>
        <w:rPr>
          <w:rStyle w:val="Emphasis"/>
        </w:rPr>
        <w:t xml:space="preserve">Foodborne Pathogens and Disease </w:t>
      </w:r>
      <w:r>
        <w:rPr/>
        <w:t xml:space="preserve">, 7(8), 913+. Retrieved from http://link. galegroup. com. subzero. lib. uoguelph. ca/apps/doc/A233825915/AONE? u= guel77241&amp;sid= AONEξd= 6800bbd9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https://assignbuster.com/the-public-health-implications-of-campylobacter-spp-in-canada-and-globally/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health implications of campyl...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health-implications-of-campylobacter-spp-in-canada-and-glob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health implications of campylobacter spp. in canada and globally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health implications of campylobacter spp. in canada and globally</dc:title>
  <dc:subject>Others;</dc:subject>
  <dc:creator>AssignBuster</dc:creator>
  <cp:keywords/>
  <dc:description>The number of the cases was positive for Campylobacter spp.was 116 people and no death was reported.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