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"https://assignbuster.com/admission-essay-admission-essay-samples/"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Admission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SeminarThe ability to relate theories learned in class is important in developing a better understanding.  This is especially true in technical and scientific fields and is a key reason as to why I would be interested in this Asphax seminar. </w:t>
      </w:r>
    </w:p>
    <w:p>
      <w:pPr>
        <w:pStyle w:val="TextBody"/>
        <w:bidi w:val="0"/>
        <w:spacing w:before="0" w:after="283"/>
        <w:jc w:val="start"/>
        <w:rPr/>
      </w:pPr>
      <w:r>
        <w:rPr/>
        <w:t xml:space="preserve">Moreover, practical medicine involves interacting with the society and this is a chance to perfect social skills thus be more relevant to the practical aspects of medicine.  I have in the past been involved in seminars and was a member of the debate club in high school; these past experiences will be useful in transmission and developing an understanding of the needs of the participants. I would choose Asphax seminar for it involves a large number of participants from different disciples and diverse cultures.  This diversity of backgrounds helps in development of an understanding of how to interact with different social backgrounds thus the development of an all round practitioner defined by ability to relate well with professionals and patients.        Characters: 999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https://assignbuster.com/admission-essay-admission-essay-samples/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Admission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Admission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essay</dc:title>
  <dc:subject>Literature;Russian Literature</dc:subject>
  <dc:creator>AssignBuster</dc:creator>
  <cp:keywords/>
  <dc:description>This is especially true in technical and scientific fields and is a key reason as to why I would be interested in this Asphax seminar.</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