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"https://assignbuster.com/earthcare-packaging/"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Earthcare: packaging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Earthcare: Packaging Earthcare: Packaging There are several religious views about the environmental crisis that are anchored by different forces that focus on different solutions for each of the view. There is the secular view, most who people of believing in this view, think that the only way to solve an environmental crisis, is through material solutions because the crisis is material generated (Clowney &amp; Mosto, 2009). The secular view holds that environmental problems such as pollution, market forces, and improper waste management can be solved through clear strategies by the people give the mandate to solve the problems. The other view is the religious view that revolves around spirituality, and the believers are of the view that any environmental problem is a spiritual one and requires a spiritual approach. </w:t>
        <w:br/>
        <w:t xml:space="preserve">Despite the different views on the environmental crisis, a viable solution to any of the problems must be found to lower further problems from arising. People need to appreciate every single effort that is aimed at solving the environmental crisis whether it is from a secular point of view or the broader religious view.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https://assignbuster.com/earthcare-packaging/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Earthcare: packaging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Earthcare: packaging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Earthcare: packaging</dc:title>
  <dc:subject>Literature;Russian Literature</dc:subject>
  <dc:creator>AssignBuster</dc:creator>
  <cp:keywords/>
  <dc:description>People need to appreciate every single effort that is aimed at solving the environmental crisis whether it is from a secular point of view or the broa...</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