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"https://assignbuster.com/sustainable-engineering-green-sustainable-materials/"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Sustainable engineering: green sustainable materials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 billion gallons per year of biodiesel can be produced by employing 0. 25billion acres of land is required. </w:t>
        <w:br/>
        <w:t xml:space="preserve">The U. S, gasoline consumption is about 133 billion gallons. In order to fulfill the required amount with 1/3 of ethanol from corn, will be 43. 3 billion gallons. 1 acre of cornfield produces about 77. 5 gallons of ethanol. 0. 55 Billion acres will meet the 1/3 demand for gasoline. </w:t>
        <w:br/>
        <w:t xml:space="preserve">Emission produced by corn ethanol per BTUs of energy is about 42Kg /BTU, where 42 KG represents the greenhouse gas emission in kilograms. Oxides of nitrogen and carbon are a major component of GHG emission. Emission produced by sugarcane ethanol per BTUs of energy is about 37Kg /BTU. Emission produced by switchgrass ethanol per BTUs of energy is about 29Kg /BTU. Emission produced by soya bean diesel per BTUs of energy is about 32Kg /BTU. </w:t>
        <w:br/>
        <w:t xml:space="preserve">The payback period is the period of time at which the plant costs can be recovered and there refining and processing plants start making the profit.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https://assignbuster.com/sustainable-engineering-green-sustainable-materials/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Sustainable engineering: green sustainab...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Sustainable engineering: green sustainable materials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engineering: green sustainable materials</dc:title>
  <dc:subject>Literature;Russian Literature</dc:subject>
  <dc:creator>AssignBuster</dc:creator>
  <cp:keywords/>
  <dc:description>Emission produced by switchgrass ethanol per BTUs of energy is about 29Kg BTU.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