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"https://assignbuster.com/ikea-consumer-and-organisational-behaviour/"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Ikea consumer and organisational behaviour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Consumers’ Level of Involvement and IKEA’s Marketing Plan The perceived level of risk of consumers is high when it comes to buying furnishing products therefore, consumer involvement level is high. </w:t>
        <w:br/>
        <w:br/>
        <w:t xml:space="preserve">Perceived Risk </w:t>
        <w:br/>
        <w:br/>
        <w:t xml:space="preserve">It has affected IKEA’s marketing plan in the following way. </w:t>
        <w:br/>
        <w:br/>
        <w:t xml:space="preserve">Post Purchase Evaluation at IKEA and its Impact on Marketing Plan </w:t>
        <w:br/>
        <w:br/>
        <w:t xml:space="preserve">IKEA is offering its products worldwide however; the company has been offering its standardized products until it accessed the US market. Based on consumer feedback, IKEA introduced American style furniture with core IKEA values such as easy-to-assemble, portable, etc. </w:t>
        <w:br/>
        <w:br/>
        <w:t xml:space="preserve">Social influences on consumer behavior and its Impact on IKEA Marketing Plan </w:t>
        <w:br/>
        <w:br/>
        <w:t xml:space="preserve">IKEA is operating worldwide therefore, IKEA marketers are facing huge social influences whilst developing product, services and marketing plan.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https://assignbuster.com/ikea-consumer-and-organisational-behaviour/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Ikea consumer and organisational behavio...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Ikea consumer and organisational behaviour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Ikea consumer and organisational behaviour</dc:title>
  <dc:subject>Business;Marketing</dc:subject>
  <dc:creator>AssignBuster</dc:creator>
  <cp:keywords/>
  <dc:description>Post Purchase Evaluation at IKEA and its Impact on Marketing Plan IKEA is offering its products worldwide however; the company has been offering its 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