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"https://assignbuster.com/essay-on-administrator-training-program/"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administrator training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Adult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 Placement Fee Reimbursement </w:t>
        <w:br/>
        <w:t xml:space="preserve">Arts and Music Block Grant </w:t>
        <w:br/>
        <w:t xml:space="preserve">Bilingual Teacher Training </w:t>
        <w:br/>
        <w:t xml:space="preserve">California Association of Student Councils </w:t>
        <w:br/>
        <w:t xml:space="preserve">California High School Exit Exam </w:t>
        <w:br/>
        <w:t xml:space="preserve">California School Age Families Education </w:t>
        <w:br/>
        <w:t xml:space="preserve">Center for Civic Education </w:t>
        <w:br/>
        <w:t xml:space="preserve">Certificated Staff Mentoring </w:t>
        <w:br/>
        <w:t xml:space="preserve">Charter School Categorical Block Grant </w:t>
        <w:br/>
        <w:t xml:space="preserve">County Office of Education Fiscal Oversight </w:t>
        <w:br/>
        <w:t xml:space="preserve">Community Based English Tutoring </w:t>
        <w:br/>
        <w:t xml:space="preserve">Community Day School Additional Funding </w:t>
        <w:br/>
        <w:t xml:space="preserve">Supplemental Instruction </w:t>
        <w:br/>
        <w:t xml:space="preserve">Deferred Maintenance </w:t>
        <w:br/>
        <w:t xml:space="preserve">Economic Impact Aid </w:t>
        <w:br/>
        <w:t xml:space="preserve">Education Technology </w:t>
        <w:br/>
        <w:t xml:space="preserve">Gifted and Talented Education </w:t>
        <w:br/>
        <w:t xml:space="preserve">Instructional Materials Fund Realignment Program </w:t>
        <w:br/>
        <w:t xml:space="preserve">International Baccalaureate </w:t>
        <w:br/>
        <w:t xml:space="preserve">Math and Reading Professional Development </w:t>
        <w:br/>
        <w:t xml:space="preserve">Math and Reading Professional Development- EL </w:t>
        <w:br/>
        <w:t xml:space="preserve">Middle and High School Counseling </w:t>
        <w:br/>
        <w:t xml:space="preserve">National Board Certification </w:t>
        <w:br/>
        <w:t xml:space="preserve">New Charter Supplemental Categorical Block Grant </w:t>
        <w:br/>
        <w:t xml:space="preserve">Oral Health </w:t>
        <w:br/>
        <w:t xml:space="preserve">Peer Assistance and Review </w:t>
        <w:br/>
        <w:t xml:space="preserve">Physical Education Teacher Incentive </w:t>
        <w:br/>
        <w:t xml:space="preserve">Professional Development Block Grant </w:t>
        <w:br/>
        <w:t xml:space="preserve">Pupil Retention Block Grant </w:t>
        <w:br/>
        <w:t xml:space="preserve">Reader Services for Blind Teachers </w:t>
        <w:br/>
        <w:t xml:space="preserve">Regional Occupational Centers/Programs (ROC/P) </w:t>
        <w:br/>
        <w:t xml:space="preserve">Small District/COE Bus Replacement </w:t>
        <w:br/>
        <w:t xml:space="preserve">Valenzuela County Oversight </w:t>
        <w:br/>
        <w:t xml:space="preserve">Williams County Oversight </w:t>
        <w:br/>
        <w:t xml:space="preserve">(SOURCES: SCCOE, 2014; CDE, 2013) </w:t>
        <w:br/>
        <w:t xml:space="preserve">(SOURCE: Weston, 2011, p. 15) </w:t>
        <w:br/>
        <w:t xml:space="preserve">(SOURCE: author, 2014) </w:t>
        <w:br/>
        <w:t xml:space="preserve">*According to CDE (2013d), flexibility applies to 38 categorical programs, unrestricted and up to the discretion of the individual LEA—which “ may use the funds to provide services under the pre-flexed programs or for other education purposes or programs” (“ Funding Profile 2226,” para. 1). </w:t>
        <w:br/>
        <w:t xml:space="preserve">** Also according to CDE (2013d), eligibility for funding means the following: “ All entities that received funding in the 2007-08 or 2008-09 base year for programs that are now flexible are eligible for funding” (“ Funding Profile 2226,” para. 2). The total available for these is $2, 536, 055, 000. </w:t>
        <w:br/>
        <w:t xml:space="preserve">According to SSC (2013), Tier programs are allocated funding and flexibility accordingly: </w:t>
      </w:r>
    </w:p>
    <w:p>
      <w:pPr>
        <w:pStyle w:val="Heading2"/>
        <w:bidi w:val="0"/>
        <w:jc w:val="start"/>
        <w:rPr/>
      </w:pPr>
      <w:r>
        <w:rPr/>
        <w:t xml:space="preserve">Tier I--Programs for which funding remains at 2008-09 original Budget enacted level for 2008-09 and 2009-10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No cuts, no additional flexibility; </w:t>
      </w:r>
    </w:p>
    <w:p>
      <w:pPr>
        <w:pStyle w:val="Heading2"/>
        <w:bidi w:val="0"/>
        <w:jc w:val="start"/>
        <w:rPr/>
      </w:pPr>
      <w:r>
        <w:rPr/>
        <w:t xml:space="preserve">Tier II--Programs for which funding is reduced in 2008-09 and 2009-10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Funding reductions, no additional flexibility </w:t>
        <w:br/>
        <w:t xml:space="preserve">Tier III--Programs for which funding is reduced in 2008-09 and 2009-10, but flexibility to transfer funding to other education purposes is allowed </w:t>
        <w:br/>
        <w:t xml:space="preserve">- Funding reductions, flexibility to transfer up to 100% to another purpose (“ State Categorical Flexibility,” para. 9). </w:t>
        <w:br/>
        <w:t xml:space="preserve">***According to authors for the Los Angeles Unified School District Budget Services and Financial Planning Division (2014), “ the LCFF includes several variables to calculate an LEA’s entitlement; these are ADA, enrollment, unduplicated student count, COLA, and gap funding percentage” (p. 129).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https://assignbuster.com/essay-on-administrator-training-program/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administrator training program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administrator training program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administrator training program</dc:title>
  <dc:subject>Technology;Development</dc:subject>
  <dc:creator>AssignBuster</dc:creator>
  <cp:keywords/>
  <dc:description>Advance Placement Fee Reimbursement Arts and Music Block Grant Bilingual Teacher Training California Association of Student Councils California High 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