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"https://assignbuster.com/presence-of-circulating-micro-organisms-bloodstream-biology-essay/"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Presence of circulating micro organisms bloodstream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The presence of go arounding micro- beings in the blood stream is either portion of the natural history of a disease or a contemplation of serious uncontrolled infection. Depending on the causative agent this procedure is described as bacteraemia, fungaemia, viremia or parasitemia. ( Ryan &amp; A ; beam, 2010 )The blood stream is usually unfertile in healthy persons, the presence of micro beings is considered is considered potentially serious. Transeunt bacteraemias may happen when there is trauma to a organic structure site that has normal vegetations as occurs after tooth brushing. The beings are shortly cleared by the immune system and such transient bacteraemias have no clinical significance. Blood poisoning refers to systemic disease associated with the presence and continuity of infective micro beings or their toxins in the blood. Septicaemia is potentially life threatening and is recognized globally as holding a high mortality rate and increasing in incidence. </w:t>
      </w:r>
    </w:p>
    <w:p>
      <w:pPr>
        <w:pStyle w:val="TextBody"/>
        <w:bidi w:val="0"/>
        <w:spacing w:before="0" w:after="283"/>
        <w:jc w:val="start"/>
        <w:rPr/>
      </w:pPr>
      <w:r>
        <w:rPr/>
        <w:t xml:space="preserve">The causative agents of blood poisoning include both gram positive and gram negative micro beings. Cases of blood poisoning are normally a consequence of flood of the causative agent from an excess vascular infection. In these instances the beings are drained by the lymphatic system or from the infection site and reaches the capillaries. </w:t>
      </w:r>
    </w:p>
    <w:p>
      <w:pPr>
        <w:pStyle w:val="TextBody"/>
        <w:bidi w:val="0"/>
        <w:spacing w:before="0" w:after="283"/>
        <w:jc w:val="start"/>
        <w:rPr/>
      </w:pPr>
      <w:r>
        <w:rPr/>
        <w:t xml:space="preserve">The most common beginning of beings doing bacteraemia appear concomitantly with other serious infections such as urinary piece of land infection ( UTI ) , respiratory piece of land infection ( RTI ) , endocarditis, kidney and intestine infections. Approximately 250, 000 instances of blood watercourse infection are reported in the United States each twelvemonth. The most prevailing bacteriums that might do bacteraemia have been reported. In Ireland these include Coagulase negative Staphylococci ( CoNS ) chiefly Staphylococcus epidermidis ( S. epidermidis ) . Bacteraemia caused by Pseudomonas aeruginosa ( P. aeruginosa ) , Staphylococcus aureus ( S. </w:t>
      </w:r>
    </w:p>
    <w:p>
      <w:pPr>
        <w:pStyle w:val="TextBody"/>
        <w:bidi w:val="0"/>
        <w:spacing w:before="0" w:after="283"/>
        <w:jc w:val="start"/>
        <w:rPr/>
      </w:pPr>
      <w:r>
        <w:rPr/>
        <w:t xml:space="preserve">aureus ) and Klebsiella pneumonia ( K. pneumo ) are long recognized in Ireland as a beginning of nosocomial bacteraemia. </w:t>
      </w:r>
    </w:p>
    <w:p>
      <w:pPr>
        <w:pStyle w:val="Heading2"/>
        <w:bidi w:val="0"/>
        <w:jc w:val="start"/>
        <w:rPr/>
      </w:pPr>
      <w:r>
        <w:rPr/>
        <w:t xml:space="preserve">Organism </w:t>
      </w:r>
    </w:p>
    <w:p>
      <w:pPr>
        <w:pStyle w:val="Heading2"/>
        <w:bidi w:val="0"/>
        <w:jc w:val="start"/>
        <w:rPr/>
      </w:pPr>
      <w:r>
        <w:rPr/>
        <w:t xml:space="preserve">% of BC+1 </w:t>
      </w:r>
    </w:p>
    <w:p>
      <w:pPr>
        <w:pStyle w:val="Heading2"/>
        <w:bidi w:val="0"/>
        <w:jc w:val="start"/>
        <w:rPr/>
      </w:pPr>
      <w:r>
        <w:rPr/>
        <w:t xml:space="preserve">S. aureus </w:t>
      </w:r>
    </w:p>
    <w:p>
      <w:pPr>
        <w:pStyle w:val="Heading2"/>
        <w:bidi w:val="0"/>
        <w:jc w:val="start"/>
        <w:rPr/>
      </w:pPr>
      <w:r>
        <w:rPr/>
        <w:t xml:space="preserve">30 % </w:t>
      </w:r>
    </w:p>
    <w:p>
      <w:pPr>
        <w:pStyle w:val="Heading2"/>
        <w:bidi w:val="0"/>
        <w:jc w:val="start"/>
        <w:rPr/>
      </w:pPr>
      <w:r>
        <w:rPr/>
        <w:t xml:space="preserve">Central nervous system </w:t>
      </w:r>
    </w:p>
    <w:p>
      <w:pPr>
        <w:pStyle w:val="Heading2"/>
        <w:bidi w:val="0"/>
        <w:jc w:val="start"/>
        <w:rPr/>
      </w:pPr>
      <w:r>
        <w:rPr/>
        <w:t xml:space="preserve">70 % </w:t>
      </w:r>
    </w:p>
    <w:p>
      <w:pPr>
        <w:pStyle w:val="Heading2"/>
        <w:bidi w:val="0"/>
        <w:jc w:val="start"/>
        <w:rPr/>
      </w:pPr>
      <w:r>
        <w:rPr/>
        <w:t xml:space="preserve">E. faecalis </w:t>
      </w:r>
    </w:p>
    <w:p>
      <w:pPr>
        <w:pStyle w:val="Heading2"/>
        <w:bidi w:val="0"/>
        <w:jc w:val="start"/>
        <w:rPr/>
      </w:pPr>
      <w:r>
        <w:rPr/>
        <w:t xml:space="preserve">45 % </w:t>
      </w:r>
    </w:p>
    <w:p>
      <w:pPr>
        <w:pStyle w:val="Heading2"/>
        <w:bidi w:val="0"/>
        <w:jc w:val="start"/>
        <w:rPr/>
      </w:pPr>
      <w:r>
        <w:rPr/>
        <w:t xml:space="preserve">E. faecium </w:t>
      </w:r>
    </w:p>
    <w:p>
      <w:pPr>
        <w:pStyle w:val="Heading2"/>
        <w:bidi w:val="0"/>
        <w:jc w:val="start"/>
        <w:rPr/>
      </w:pPr>
      <w:r>
        <w:rPr/>
        <w:t xml:space="preserve">20 % </w:t>
      </w:r>
    </w:p>
    <w:p>
      <w:pPr>
        <w:pStyle w:val="Heading2"/>
        <w:bidi w:val="0"/>
        <w:jc w:val="start"/>
        <w:rPr/>
      </w:pPr>
      <w:r>
        <w:rPr/>
        <w:t xml:space="preserve">Streptococcus sp. </w:t>
      </w:r>
    </w:p>
    <w:p>
      <w:pPr>
        <w:pStyle w:val="Heading2"/>
        <w:bidi w:val="0"/>
        <w:jc w:val="start"/>
        <w:rPr/>
      </w:pPr>
      <w:r>
        <w:rPr/>
        <w:t xml:space="preserve">35 % </w:t>
      </w:r>
    </w:p>
    <w:p>
      <w:pPr>
        <w:pStyle w:val="Heading2"/>
        <w:bidi w:val="0"/>
        <w:jc w:val="start"/>
        <w:rPr/>
      </w:pPr>
      <w:r>
        <w:rPr/>
        <w:t xml:space="preserve">E. coli </w:t>
      </w:r>
    </w:p>
    <w:p>
      <w:pPr>
        <w:pStyle w:val="Heading2"/>
        <w:bidi w:val="0"/>
        <w:jc w:val="start"/>
        <w:rPr/>
      </w:pPr>
      <w:r>
        <w:rPr/>
        <w:t xml:space="preserve">35 % </w:t>
      </w:r>
    </w:p>
    <w:p>
      <w:pPr>
        <w:pStyle w:val="Heading2"/>
        <w:bidi w:val="0"/>
        <w:jc w:val="start"/>
        <w:rPr/>
      </w:pPr>
      <w:r>
        <w:rPr/>
        <w:t xml:space="preserve">K. </w:t>
      </w:r>
    </w:p>
    <w:p>
      <w:pPr>
        <w:pStyle w:val="Heading2"/>
        <w:bidi w:val="0"/>
        <w:jc w:val="start"/>
        <w:rPr/>
      </w:pPr>
      <w:r>
        <w:rPr/>
        <w:t xml:space="preserve">pneumoniae </w:t>
      </w:r>
    </w:p>
    <w:p>
      <w:pPr>
        <w:pStyle w:val="Heading2"/>
        <w:bidi w:val="0"/>
        <w:jc w:val="start"/>
        <w:rPr/>
      </w:pPr>
      <w:r>
        <w:rPr/>
        <w:t xml:space="preserve">20 % </w:t>
      </w:r>
    </w:p>
    <w:p>
      <w:pPr>
        <w:pStyle w:val="Heading2"/>
        <w:bidi w:val="0"/>
        <w:jc w:val="start"/>
        <w:rPr/>
      </w:pPr>
      <w:r>
        <w:rPr/>
        <w:t xml:space="preserve">P. aeruginosa </w:t>
      </w:r>
    </w:p>
    <w:p>
      <w:pPr>
        <w:pStyle w:val="Heading2"/>
        <w:bidi w:val="0"/>
        <w:jc w:val="start"/>
        <w:rPr/>
      </w:pPr>
      <w:r>
        <w:rPr/>
        <w:t xml:space="preserve">15 % </w:t>
      </w:r>
    </w:p>
    <w:p>
      <w:pPr>
        <w:pStyle w:val="Heading2"/>
        <w:bidi w:val="0"/>
        <w:jc w:val="start"/>
        <w:rPr/>
      </w:pPr>
      <w:r>
        <w:rPr/>
        <w:t xml:space="preserve">Other GNRs </w:t>
      </w:r>
    </w:p>
    <w:p>
      <w:pPr>
        <w:pStyle w:val="Heading2"/>
        <w:bidi w:val="0"/>
        <w:jc w:val="start"/>
        <w:rPr/>
      </w:pPr>
      <w:r>
        <w:rPr/>
        <w:t xml:space="preserve">30 % </w:t>
      </w:r>
    </w:p>
    <w:p>
      <w:pPr>
        <w:pStyle w:val="Heading2"/>
        <w:bidi w:val="0"/>
        <w:jc w:val="start"/>
        <w:rPr/>
      </w:pPr>
      <w:r>
        <w:rPr/>
        <w:t xml:space="preserve">Candida sp. </w:t>
      </w:r>
    </w:p>
    <w:p>
      <w:pPr>
        <w:pStyle w:val="Heading2"/>
        <w:bidi w:val="0"/>
        <w:jc w:val="start"/>
        <w:rPr/>
      </w:pPr>
      <w:r>
        <w:rPr/>
        <w:t xml:space="preserve">5 % </w:t>
      </w:r>
    </w:p>
    <w:p>
      <w:pPr>
        <w:pStyle w:val="Heading2"/>
        <w:bidi w:val="0"/>
        <w:jc w:val="start"/>
        <w:rPr/>
      </w:pPr>
      <w:r>
        <w:rPr/>
        <w:t xml:space="preserve">Other </w:t>
      </w:r>
    </w:p>
    <w:p>
      <w:pPr>
        <w:pStyle w:val="Heading2"/>
        <w:bidi w:val="0"/>
        <w:jc w:val="start"/>
        <w:rPr/>
      </w:pPr>
      <w:r>
        <w:rPr/>
        <w:t xml:space="preserve">5 % </w:t>
      </w:r>
    </w:p>
    <w:p>
      <w:pPr>
        <w:pStyle w:val="TextBody"/>
        <w:bidi w:val="0"/>
        <w:spacing w:before="0" w:after="283"/>
        <w:jc w:val="start"/>
        <w:rPr/>
      </w:pPr>
      <w:r>
        <w:rPr/>
        <w:t xml:space="preserve">Figure 1: Prevalence of bacteriums isolated from blood civilizations of hospitalized patients in the United States in 2002. Blood civilizations have an of import function in the diagnosing of serious infection. Since blood stream infections have a important impact on the morbidity and mortality of patients, accurate and rapid blood civilization informations have an of import function in the diagnosing of serious infection cut downing mortality and health care costs. </w:t>
      </w:r>
    </w:p>
    <w:p>
      <w:pPr>
        <w:pStyle w:val="TextBody"/>
        <w:bidi w:val="0"/>
        <w:spacing w:before="0" w:after="283"/>
        <w:jc w:val="start"/>
        <w:rPr/>
      </w:pPr>
      <w:r>
        <w:rPr/>
        <w:t xml:space="preserve">The accurate isolation of the aetiologic agent of a blood stream infection is one of the most of import maps performed by the clinical microbiology research lab. Current civilization based methods are the gilded criterion, based on phenotypical designation of the causative agent of a blood stream infection. While they are of great diagnostic value these trials have a figure of built-in restrictions that restrict their ability to quickly place the species and susceptibleness. Because of this, handling clinicians are forced to utilize empiric antimicrobic therapy to cover all suspected pathogens while expecting unequivocal studies from the research lab. Therefore the debut of rapid microbic proving techniques for blood watercourse infections in the clinical scene is necessary for both patient and health care remunerator positions. </w:t>
      </w:r>
    </w:p>
    <w:p>
      <w:pPr>
        <w:pStyle w:val="Heading2"/>
        <w:bidi w:val="0"/>
        <w:jc w:val="start"/>
        <w:rPr/>
      </w:pPr>
      <w:r>
        <w:rPr/>
        <w:t xml:space="preserve">1. 2 Overview of the standard microbiological techniques and their drawbacks </w:t>
      </w:r>
    </w:p>
    <w:p>
      <w:pPr>
        <w:pStyle w:val="TextBody"/>
        <w:bidi w:val="0"/>
        <w:spacing w:before="0" w:after="283"/>
        <w:jc w:val="start"/>
        <w:rPr/>
      </w:pPr>
      <w:r>
        <w:rPr/>
        <w:t xml:space="preserve">The current clinical microbiology criterion of placing the pathogens doing a blood watercourse infection involves utilizing civilization based techniques that have non changed much since their debut into usage. </w:t>
      </w:r>
    </w:p>
    <w:p>
      <w:pPr>
        <w:pStyle w:val="TextBody"/>
        <w:bidi w:val="0"/>
        <w:spacing w:before="0" w:after="283"/>
        <w:jc w:val="start"/>
        <w:rPr/>
      </w:pPr>
      <w:r>
        <w:rPr/>
        <w:t xml:space="preserve">This phenotypic method of placing organisms has a figure of built-in restrictions that prevent it from supplying rapid consequences, including clip required for being growing which prevent these methods supplying valuable information on bacterial or fungous species of blood civilization positive samples within the first few hours. The normal work flow within the research lab for the probe of a blood stream infection involves a positive blood civilization being typically detected by an machine-controlled microbic sensing system within 5 yearss from the clip of aggregation. While a figure of systems are available the Becton Dickinson BD FX uninterrupted monitoring blood civilization system is employed in this research lab. The rule of this system is based on the sample to be tested inoculated into a blood civilization bottle ( aerophilic, anaerobiotic and paed ) which is entered into the BACTEC FX instrument for incubation and periodic reading. Each blood civilization bottle contains a detector which responds to the concentration of CO2 produced by the metamorphosis of micro-organisms or the ingestion of O needed for the growing of micro-organisms. The detector is monitored by the instrument every 10 proceedingss for an addition in its fluorescence, which is relative to the increasing sum of CO2 or the decreasing sum of O2 nowadays in the phial. </w:t>
      </w:r>
    </w:p>
    <w:p>
      <w:pPr>
        <w:pStyle w:val="TextBody"/>
        <w:bidi w:val="0"/>
        <w:spacing w:before="0" w:after="283"/>
        <w:jc w:val="start"/>
        <w:rPr/>
      </w:pPr>
      <w:r>
        <w:rPr/>
        <w:t xml:space="preserve">A positive reading indicates the presumptive presence of feasible micro-organisms in the blood civilization bottle. From the point of a blood civilization turning positive it can take up to 36 hours to find the species and susceptibleness of the causative agent. The immediate direction of any positive blood civilization bottle includes prompt gm staining, which allows categorization of the micro being as either gm positive or gram negative. The blood civilization medium is besides inoculated on to blood and cocoa agar and incubated for 24 hours. Inoculation on to blood and cocoa agar is performed in order to obtain settlements that would be subjected to designation. The positive blood civilization is further processed following the standard research lab process. Previous surveies have shown that intervention of blood watercourse infections with early, appropriate antimicrobic therapy reduces morbidity, mortality and subsequent health care costs. Ordering wide spectrum disinfectants before concluding civilization and susceptibleness is besides reported to hold reduced mortality and health care costs, the chance to travel to a targeted antimicrobic therapy Oklahoman utilizing rapid microbiological and molecular techniques could diminish the clip patients are exposed to unneeded intervention, potentially diminishing their length of stay and forestalling antimicrobic opposition. </w:t>
      </w:r>
    </w:p>
    <w:p>
      <w:pPr>
        <w:pStyle w:val="TextBody"/>
        <w:bidi w:val="0"/>
        <w:spacing w:before="0" w:after="283"/>
        <w:jc w:val="start"/>
        <w:rPr/>
      </w:pPr>
      <w:r>
        <w:rPr/>
        <w:t xml:space="preserve">This can be achieved by concentrating on alternate techniques to better the sensing of pathogens in the blood watercourse, of these new techniques some are designed to cut down the clip to designation after sensing of pathogens by conventional blood civilization. These rapid methods for earlier designation of the causative agent of a blood watercourse infection non merely assist the clinician to set antimicrobic therapy Oklahoman they besides benefit the health care establishment ensuing in cost nest eggs. In recent old ages the addition in multi drug resistant pathogens has highlighted the importance for rapid being designation. For many pathogens distinction to species degree is important an illustration is Enterococcus faecium ( E. faecium ) . Isolates of E. </w:t>
      </w:r>
    </w:p>
    <w:p>
      <w:pPr>
        <w:pStyle w:val="TextBody"/>
        <w:bidi w:val="0"/>
        <w:spacing w:before="0" w:after="283"/>
        <w:jc w:val="start"/>
        <w:rPr/>
      </w:pPr>
      <w:r>
        <w:rPr/>
        <w:t xml:space="preserve">faecium are immune to ampicillin, which is nevertheless efficient for the intervention of Enterococcus faecalis ( E. faecalis ) . Correspondingly within the genus staphylococci which is responsible for up to 50 % of all instances of sepsis, CoNS require different therapy to Staphylococcus aureus ( S. aureus ) . CoNS are normally isolated from the blood but merely about 20 % of such isolates represent true infection, the staying being contaminations. </w:t>
      </w:r>
    </w:p>
    <w:p>
      <w:pPr>
        <w:pStyle w:val="TextBody"/>
        <w:bidi w:val="0"/>
        <w:spacing w:before="0" w:after="283"/>
        <w:jc w:val="start"/>
        <w:rPr/>
      </w:pPr>
      <w:r>
        <w:rPr/>
        <w:t xml:space="preserve">True CoNS infections are about ever associated with the presence of foreign organic structures such as vascular catheters. Blood civilizations with S. aureus as the isolate are associated with important mortality. </w:t>
      </w:r>
    </w:p>
    <w:p>
      <w:pPr>
        <w:pStyle w:val="TextBody"/>
        <w:bidi w:val="0"/>
        <w:spacing w:before="0" w:after="283"/>
        <w:jc w:val="start"/>
        <w:rPr/>
      </w:pPr>
      <w:r>
        <w:rPr/>
        <w:t xml:space="preserve">Blood watercourse infections caused by candida species is presumably diagnosed by the presence of gm positive barm cells on gm discoloration of the contents of the positive blood civilization. Empirical antimicrobic therapy which include common fungicides are effectual against most candida species including Candida albicans ( C. albicans ) . </w:t>
      </w:r>
    </w:p>
    <w:p>
      <w:pPr>
        <w:pStyle w:val="TextBody"/>
        <w:bidi w:val="0"/>
        <w:spacing w:before="0" w:after="283"/>
        <w:jc w:val="start"/>
        <w:rPr/>
      </w:pPr>
      <w:r>
        <w:rPr/>
        <w:t xml:space="preserve">However there is an increasing prevalence of other candida species doing infection such as Candida glabrata and candida krusei with different opposition forms to common fungicides such as fluconazole. This has necessitated more rapid designation of barm species in blood civilizations. </w:t>
      </w:r>
    </w:p>
    <w:p>
      <w:pPr>
        <w:pStyle w:val="Heading2"/>
        <w:bidi w:val="0"/>
        <w:spacing w:before="200" w:after="120"/>
        <w:jc w:val="start"/>
        <w:rPr/>
      </w:pPr>
      <w:r>
        <w:rPr/>
        <w:t xml:space="preserve">1. 3 Currently available rapid molecular techniques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https://assignbuster.com/presence-of-circulating-micro-organisms-bloodstream-biology-essay/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Presence of circulating micro organisms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Presence of circulating micro organisms bloodstream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Presence of circulating micro organisms bloodstream biology essay</dc:title>
  <dc:subject>Countries;United States</dc:subject>
  <dc:creator>AssignBuster</dc:creator>
  <cp:keywords/>
  <dc:description>The presence of go arounding micro- beings in the blood stream is either portion of the natural history of a disease or a contemplation of serious unc...</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