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hostel living situation on mental health</w:t>
        </w:r>
      </w:hyperlink>
      <w:bookmarkEnd w:id="0"/>
    </w:p>
    <w:p>
      <w:r>
        <w:br w:type="page"/>
      </w:r>
    </w:p>
    <w:p>
      <w:pPr>
        <w:pStyle w:val="TextBody"/>
        <w:bidi w:val="0"/>
        <w:jc w:val="start"/>
        <w:rPr/>
      </w:pPr>
      <w:r>
        <w:rPr>
          <w:rStyle w:val="Emphasis"/>
          <w:u w:val="single"/>
        </w:rPr>
        <w:t xml:space="preserve">A Study of Mental Health of Hostel and Non-hostel Students with Relation to Their Gender </w:t>
      </w:r>
    </w:p>
    <w:p>
      <w:pPr>
        <w:pStyle w:val="TextBody"/>
        <w:numPr>
          <w:ilvl w:val="0"/>
          <w:numId w:val="1"/>
        </w:numPr>
        <w:tabs>
          <w:tab w:val="clear" w:pos="1134"/>
          <w:tab w:val="left" w:pos="709" w:leader="none"/>
        </w:tabs>
        <w:bidi w:val="0"/>
        <w:ind w:start="709" w:hanging="283"/>
        <w:jc w:val="start"/>
        <w:rPr/>
      </w:pPr>
      <w:r>
        <w:rPr/>
        <w:t xml:space="preserve">Urvi Goswami </w:t>
      </w:r>
    </w:p>
    <w:p>
      <w:pPr>
        <w:pStyle w:val="TextBody"/>
        <w:bidi w:val="0"/>
        <w:jc w:val="start"/>
        <w:rPr/>
      </w:pPr>
      <w:r>
        <w:rPr/>
        <w:t xml:space="preserve">Abstract: Mental health is as important as physical health in our life. An attempt has been made to measure mental health of hostel and non-hostel students with relation to their gender. The sample consisted of 120 high school students of Patan city of Gujarat state. Mental health of the sample was measured by mental health inventory developed by D. J. Bhatt and G. R. Gida (2006). The result indicates that there is no significant difference between the mental health level of hostelites boys and girls. It could be also seen that no significant difference found between the non-hostelites boys and girls. </w:t>
      </w:r>
    </w:p>
    <w:p>
      <w:pPr>
        <w:pStyle w:val="TextBody"/>
        <w:bidi w:val="0"/>
        <w:spacing w:before="0" w:after="283"/>
        <w:jc w:val="start"/>
        <w:rPr/>
      </w:pPr>
      <w:r>
        <w:rPr>
          <w:rStyle w:val="Emphasis"/>
          <w:u w:val="single"/>
        </w:rPr>
        <w:t xml:space="preserve">Introduction: </w:t>
      </w:r>
    </w:p>
    <w:p>
      <w:pPr>
        <w:pStyle w:val="TextBody"/>
        <w:bidi w:val="0"/>
        <w:spacing w:before="0" w:after="283"/>
        <w:jc w:val="start"/>
        <w:rPr/>
      </w:pPr>
      <w:r>
        <w:rPr/>
        <w:t xml:space="preserve">Mental health is a state of complete physical, mental and social well being and not merely the absence of disease or infirmity. There was once a time when caring for mentally ill was tough and practiced completely apart from caring for the physically ill. Today, mental health is as important as physical health. Mentally healthy people are having some unique characteristics like, ability to understand self weakness and strengths, in touch with reality, good self esteem and self acceptance, ability to form affectionate relationships, ability to cope with daily life stresses and frustrations, ability to accept responsibility for own decisions feelings and actions and respect for this quality in others, and so on. Some factors like biological, psychological and socio-cultural factors affecting mental health. Heredity, general physical health and nutrition are some biological factors. Intelligence, personal history of past experience, verbal skill, self confidence, motivation, degree of self direction and control are some psychological factors. The mental health is relative term. Relative means depends upon many factors. The social situation in which behavior takes place, for instance, will often decide whether a behavior is considered healthy or unhealthy. An example of this is one’s culture. It is quite normal in some culture to urinate in public, this may quite abnormal in other culture. For adolescence hostel life may occurs some adjustment problems or mental health issues. This study compares mental health of hostel and non-hostel students with relation to their gender. </w:t>
      </w:r>
    </w:p>
    <w:p>
      <w:pPr>
        <w:pStyle w:val="TextBody"/>
        <w:bidi w:val="0"/>
        <w:spacing w:before="0" w:after="283"/>
        <w:jc w:val="start"/>
        <w:rPr/>
      </w:pPr>
      <w:r>
        <w:rPr>
          <w:rStyle w:val="Emphasis"/>
          <w:u w:val="single"/>
        </w:rPr>
        <w:t xml:space="preserve">Objectives: </w:t>
      </w:r>
    </w:p>
    <w:p>
      <w:pPr>
        <w:pStyle w:val="TextBody"/>
        <w:bidi w:val="0"/>
        <w:spacing w:before="0" w:after="283"/>
        <w:jc w:val="start"/>
        <w:rPr/>
      </w:pPr>
      <w:r>
        <w:rPr/>
        <w:t xml:space="preserve">Objectives of this study are as below: </w:t>
      </w:r>
    </w:p>
    <w:p>
      <w:pPr>
        <w:pStyle w:val="TextBody"/>
        <w:numPr>
          <w:ilvl w:val="0"/>
          <w:numId w:val="3"/>
        </w:numPr>
        <w:tabs>
          <w:tab w:val="clear" w:pos="1134"/>
          <w:tab w:val="left" w:pos="709" w:leader="none"/>
        </w:tabs>
        <w:bidi w:val="0"/>
        <w:spacing w:before="0" w:after="0"/>
        <w:ind w:start="709" w:hanging="283"/>
        <w:jc w:val="start"/>
        <w:rPr/>
      </w:pPr>
      <w:r>
        <w:rPr/>
        <w:t xml:space="preserve">To determine the significant difference between hostelites and non-hostelites students. </w:t>
      </w:r>
    </w:p>
    <w:p>
      <w:pPr>
        <w:pStyle w:val="TextBody"/>
        <w:numPr>
          <w:ilvl w:val="0"/>
          <w:numId w:val="3"/>
        </w:numPr>
        <w:tabs>
          <w:tab w:val="clear" w:pos="1134"/>
          <w:tab w:val="left" w:pos="709" w:leader="none"/>
        </w:tabs>
        <w:bidi w:val="0"/>
        <w:spacing w:before="0" w:after="0"/>
        <w:ind w:start="709" w:hanging="283"/>
        <w:jc w:val="start"/>
        <w:rPr/>
      </w:pPr>
      <w:r>
        <w:rPr/>
        <w:t xml:space="preserve">To find out the significant difference between mental health of hostel students with relation to their gender. </w:t>
      </w:r>
    </w:p>
    <w:p>
      <w:pPr>
        <w:pStyle w:val="TextBody"/>
        <w:numPr>
          <w:ilvl w:val="0"/>
          <w:numId w:val="3"/>
        </w:numPr>
        <w:tabs>
          <w:tab w:val="clear" w:pos="1134"/>
          <w:tab w:val="left" w:pos="709" w:leader="none"/>
        </w:tabs>
        <w:bidi w:val="0"/>
        <w:spacing w:before="0" w:after="0"/>
        <w:ind w:start="709" w:hanging="283"/>
        <w:jc w:val="start"/>
        <w:rPr/>
      </w:pPr>
      <w:r>
        <w:rPr/>
        <w:t xml:space="preserve">To determine the significant difference between boys of hostel and non-hostel area. </w:t>
      </w:r>
    </w:p>
    <w:p>
      <w:pPr>
        <w:pStyle w:val="TextBody"/>
        <w:numPr>
          <w:ilvl w:val="0"/>
          <w:numId w:val="3"/>
        </w:numPr>
        <w:tabs>
          <w:tab w:val="clear" w:pos="1134"/>
          <w:tab w:val="left" w:pos="709" w:leader="none"/>
        </w:tabs>
        <w:bidi w:val="0"/>
        <w:ind w:start="709" w:hanging="283"/>
        <w:jc w:val="start"/>
        <w:rPr/>
      </w:pPr>
      <w:r>
        <w:rPr/>
        <w:t xml:space="preserve">To determine the significant difference between girls of hostel and non-hostel area. </w:t>
      </w:r>
    </w:p>
    <w:p>
      <w:pPr>
        <w:pStyle w:val="TextBody"/>
        <w:bidi w:val="0"/>
        <w:jc w:val="start"/>
        <w:rPr/>
      </w:pPr>
      <w:r>
        <w:rPr>
          <w:rStyle w:val="Emphasis"/>
          <w:u w:val="single"/>
        </w:rPr>
        <w:t xml:space="preserve">Hypothesis: </w:t>
      </w:r>
    </w:p>
    <w:p>
      <w:pPr>
        <w:pStyle w:val="TextBody"/>
        <w:numPr>
          <w:ilvl w:val="0"/>
          <w:numId w:val="4"/>
        </w:numPr>
        <w:tabs>
          <w:tab w:val="clear" w:pos="1134"/>
          <w:tab w:val="left" w:pos="709" w:leader="none"/>
        </w:tabs>
        <w:bidi w:val="0"/>
        <w:spacing w:before="0" w:after="0"/>
        <w:ind w:start="709" w:hanging="283"/>
        <w:jc w:val="start"/>
        <w:rPr/>
      </w:pPr>
      <w:r>
        <w:rPr/>
        <w:t xml:space="preserve">There is no significant difference between mental health of hostelites and non-hostelites students. </w:t>
      </w:r>
    </w:p>
    <w:p>
      <w:pPr>
        <w:pStyle w:val="TextBody"/>
        <w:numPr>
          <w:ilvl w:val="0"/>
          <w:numId w:val="4"/>
        </w:numPr>
        <w:tabs>
          <w:tab w:val="clear" w:pos="1134"/>
          <w:tab w:val="left" w:pos="709" w:leader="none"/>
        </w:tabs>
        <w:bidi w:val="0"/>
        <w:spacing w:before="0" w:after="0"/>
        <w:ind w:start="709" w:hanging="283"/>
        <w:jc w:val="start"/>
        <w:rPr/>
      </w:pPr>
      <w:r>
        <w:rPr/>
        <w:t xml:space="preserve">There is no significant difference between mental health of hostelites boys and girls. </w:t>
      </w:r>
    </w:p>
    <w:p>
      <w:pPr>
        <w:pStyle w:val="TextBody"/>
        <w:numPr>
          <w:ilvl w:val="0"/>
          <w:numId w:val="4"/>
        </w:numPr>
        <w:tabs>
          <w:tab w:val="clear" w:pos="1134"/>
          <w:tab w:val="left" w:pos="709" w:leader="none"/>
        </w:tabs>
        <w:bidi w:val="0"/>
        <w:spacing w:before="0" w:after="0"/>
        <w:ind w:start="709" w:hanging="283"/>
        <w:jc w:val="start"/>
        <w:rPr/>
      </w:pPr>
      <w:r>
        <w:rPr/>
        <w:t xml:space="preserve">There is no significant difference between mental health of non-hostelites boys and girls. </w:t>
      </w:r>
    </w:p>
    <w:p>
      <w:pPr>
        <w:pStyle w:val="TextBody"/>
        <w:numPr>
          <w:ilvl w:val="0"/>
          <w:numId w:val="4"/>
        </w:numPr>
        <w:tabs>
          <w:tab w:val="clear" w:pos="1134"/>
          <w:tab w:val="left" w:pos="709" w:leader="none"/>
        </w:tabs>
        <w:bidi w:val="0"/>
        <w:spacing w:before="0" w:after="0"/>
        <w:ind w:start="709" w:hanging="283"/>
        <w:jc w:val="start"/>
        <w:rPr/>
      </w:pPr>
      <w:r>
        <w:rPr/>
        <w:t xml:space="preserve">There is no significant difference between mental health of hostelites boys and non-hostelites boys. </w:t>
      </w:r>
    </w:p>
    <w:p>
      <w:pPr>
        <w:pStyle w:val="TextBody"/>
        <w:numPr>
          <w:ilvl w:val="0"/>
          <w:numId w:val="4"/>
        </w:numPr>
        <w:tabs>
          <w:tab w:val="clear" w:pos="1134"/>
          <w:tab w:val="left" w:pos="709" w:leader="none"/>
        </w:tabs>
        <w:bidi w:val="0"/>
        <w:ind w:start="709" w:hanging="283"/>
        <w:jc w:val="start"/>
        <w:rPr/>
      </w:pPr>
      <w:r>
        <w:rPr/>
        <w:t xml:space="preserve">There is no significant difference between mental health of hostelites girls and non-hostelites girls. </w:t>
      </w:r>
    </w:p>
    <w:p>
      <w:pPr>
        <w:pStyle w:val="TextBody"/>
        <w:bidi w:val="0"/>
        <w:jc w:val="start"/>
        <w:rPr/>
      </w:pPr>
      <w:r>
        <w:rPr>
          <w:rStyle w:val="Emphasis"/>
          <w:u w:val="single"/>
        </w:rPr>
        <w:t xml:space="preserve">Sample: </w:t>
      </w:r>
    </w:p>
    <w:p>
      <w:pPr>
        <w:pStyle w:val="TextBody"/>
        <w:bidi w:val="0"/>
        <w:spacing w:before="0" w:after="283"/>
        <w:jc w:val="start"/>
        <w:rPr/>
      </w:pPr>
      <w:r>
        <w:rPr/>
        <w:t xml:space="preserve">The sample consisted of 120 students – 60 hostel and 60 non-hostel students with equal number of girls and boys drawn from the hostel and non-hostel area while studying in various schools of Patan city of Gujarat state. </w:t>
      </w:r>
    </w:p>
    <w:p>
      <w:pPr>
        <w:pStyle w:val="TextBody"/>
        <w:bidi w:val="0"/>
        <w:spacing w:before="0" w:after="283"/>
        <w:jc w:val="start"/>
        <w:rPr/>
      </w:pPr>
      <w:r>
        <w:rPr>
          <w:rStyle w:val="Emphasis"/>
          <w:u w:val="single"/>
        </w:rPr>
        <w:t xml:space="preserve">Tools: </w:t>
      </w:r>
    </w:p>
    <w:p>
      <w:pPr>
        <w:pStyle w:val="TextBody"/>
        <w:bidi w:val="0"/>
        <w:spacing w:before="0" w:after="283"/>
        <w:jc w:val="start"/>
        <w:rPr/>
      </w:pPr>
      <w:r>
        <w:rPr/>
        <w:t xml:space="preserve">To measure mental health of the subjects, Mental Health Inventory developed by Bhatt and Gida (2006) was used. There are 40 statements in it and the subject has to give his/her answer in two point scales – agree and disagree. </w:t>
      </w:r>
    </w:p>
    <w:p>
      <w:pPr>
        <w:pStyle w:val="TextBody"/>
        <w:bidi w:val="0"/>
        <w:jc w:val="start"/>
        <w:rPr>
          <w:u w:val="single"/>
        </w:rPr>
      </w:pPr>
      <w:r>
        <w:rPr>
          <w:u w:val="single"/>
        </w:rPr>
        <w:t xml:space="preserve">Reliability: </w:t>
      </w:r>
    </w:p>
    <w:p>
      <w:pPr>
        <w:pStyle w:val="TextBody"/>
        <w:bidi w:val="0"/>
        <w:spacing w:before="0" w:after="283"/>
        <w:jc w:val="start"/>
        <w:rPr/>
      </w:pPr>
      <w:r>
        <w:rPr/>
        <w:t xml:space="preserve">The reliability of this inventory is 0. 94 as per the “ half split method” and as per Spearmen- Brown formula it is 0. 87. </w:t>
      </w:r>
    </w:p>
    <w:p>
      <w:pPr>
        <w:pStyle w:val="TextBody"/>
        <w:bidi w:val="0"/>
        <w:jc w:val="start"/>
        <w:rPr>
          <w:u w:val="single"/>
        </w:rPr>
      </w:pPr>
      <w:r>
        <w:rPr>
          <w:u w:val="single"/>
        </w:rPr>
        <w:t xml:space="preserve">Validity: </w:t>
      </w:r>
    </w:p>
    <w:p>
      <w:pPr>
        <w:pStyle w:val="TextBody"/>
        <w:bidi w:val="0"/>
        <w:spacing w:before="0" w:after="283"/>
        <w:jc w:val="start"/>
        <w:rPr/>
      </w:pPr>
      <w:r>
        <w:rPr/>
        <w:t xml:space="preserve">Validity of this study is 0. 63. </w:t>
      </w:r>
    </w:p>
    <w:p>
      <w:pPr>
        <w:pStyle w:val="TextBody"/>
        <w:bidi w:val="0"/>
        <w:spacing w:before="0" w:after="283"/>
        <w:jc w:val="start"/>
        <w:rPr/>
      </w:pPr>
      <w:r>
        <w:rPr>
          <w:rStyle w:val="Emphasis"/>
          <w:u w:val="single"/>
        </w:rPr>
        <w:t xml:space="preserve">Procedure: </w:t>
      </w:r>
    </w:p>
    <w:p>
      <w:pPr>
        <w:pStyle w:val="TextBody"/>
        <w:bidi w:val="0"/>
        <w:spacing w:before="0" w:after="283"/>
        <w:jc w:val="start"/>
        <w:rPr/>
      </w:pPr>
      <w:r>
        <w:rPr/>
        <w:t xml:space="preserve">The sample of 120 students of std-11 commerce of Patan city was selected randomly. This sample consisted of hostelites 30 boys and 30 girls and non-hostelites 30 boys and 30 girls. After giving them proper instructions the test was administered and obtained data was analyzed. </w:t>
      </w:r>
    </w:p>
    <w:p>
      <w:pPr>
        <w:pStyle w:val="TextBody"/>
        <w:bidi w:val="0"/>
        <w:spacing w:before="0" w:after="283"/>
        <w:jc w:val="start"/>
        <w:rPr/>
      </w:pPr>
      <w:r>
        <w:rPr>
          <w:rStyle w:val="Emphasis"/>
          <w:u w:val="single"/>
        </w:rPr>
        <w:t xml:space="preserve">RESULT AND DISSCISSION:- </w:t>
      </w:r>
    </w:p>
    <w:p>
      <w:pPr>
        <w:pStyle w:val="TextBody"/>
        <w:bidi w:val="0"/>
        <w:jc w:val="start"/>
        <w:rPr>
          <w:u w:val="single"/>
        </w:rPr>
      </w:pPr>
      <w:r>
        <w:rPr>
          <w:u w:val="single"/>
        </w:rPr>
        <w:t xml:space="preserve">TABLE-1 </w:t>
      </w:r>
    </w:p>
    <w:tbl>
      <w:tblPr>
        <w:tblW w:w="6096" w:type="dxa"/>
        <w:jc w:val="start"/>
        <w:tblInd w:w="0" w:type="dxa"/>
        <w:tblLayout w:type="fixed"/>
        <w:tblCellMar>
          <w:top w:w="28" w:type="dxa"/>
          <w:start w:w="28" w:type="dxa"/>
          <w:bottom w:w="28" w:type="dxa"/>
          <w:end w:w="28" w:type="dxa"/>
        </w:tblCellMar>
      </w:tblPr>
      <w:tblGrid>
        <w:gridCol w:w="1546"/>
        <w:gridCol w:w="406"/>
        <w:gridCol w:w="766"/>
        <w:gridCol w:w="646"/>
        <w:gridCol w:w="1006"/>
        <w:gridCol w:w="1726"/>
      </w:tblGrid>
      <w:tr>
        <w:trPr/>
        <w:tc>
          <w:tcPr>
            <w:tcW w:w="1546" w:type="dxa"/>
            <w:tcBorders/>
            <w:vAlign w:val="center"/>
          </w:tcPr>
          <w:p>
            <w:pPr>
              <w:pStyle w:val="TableContents"/>
              <w:bidi w:val="0"/>
              <w:spacing w:before="0" w:after="283"/>
              <w:jc w:val="start"/>
              <w:rPr/>
            </w:pPr>
            <w:r>
              <w:rPr/>
              <w:t xml:space="preserve">Groups </w:t>
            </w:r>
          </w:p>
        </w:tc>
        <w:tc>
          <w:tcPr>
            <w:tcW w:w="406" w:type="dxa"/>
            <w:tcBorders/>
            <w:vAlign w:val="center"/>
          </w:tcPr>
          <w:p>
            <w:pPr>
              <w:pStyle w:val="TableContents"/>
              <w:bidi w:val="0"/>
              <w:spacing w:before="0" w:after="283"/>
              <w:jc w:val="start"/>
              <w:rPr/>
            </w:pPr>
            <w:r>
              <w:rPr/>
              <w:t xml:space="preserve">n </w:t>
            </w:r>
          </w:p>
        </w:tc>
        <w:tc>
          <w:tcPr>
            <w:tcW w:w="766" w:type="dxa"/>
            <w:tcBorders/>
            <w:vAlign w:val="center"/>
          </w:tcPr>
          <w:p>
            <w:pPr>
              <w:pStyle w:val="TableContents"/>
              <w:bidi w:val="0"/>
              <w:spacing w:before="0" w:after="283"/>
              <w:jc w:val="start"/>
              <w:rPr/>
            </w:pPr>
            <w:r>
              <w:rPr/>
              <w:t xml:space="preserve">Mean </w:t>
            </w:r>
          </w:p>
        </w:tc>
        <w:tc>
          <w:tcPr>
            <w:tcW w:w="646" w:type="dxa"/>
            <w:tcBorders/>
            <w:vAlign w:val="center"/>
          </w:tcPr>
          <w:p>
            <w:pPr>
              <w:pStyle w:val="TableContents"/>
              <w:bidi w:val="0"/>
              <w:spacing w:before="0" w:after="283"/>
              <w:jc w:val="start"/>
              <w:rPr/>
            </w:pPr>
            <w:r>
              <w:rPr/>
              <w:t xml:space="preserve">s. d. </w:t>
            </w:r>
          </w:p>
        </w:tc>
        <w:tc>
          <w:tcPr>
            <w:tcW w:w="1006" w:type="dxa"/>
            <w:tcBorders/>
            <w:vAlign w:val="center"/>
          </w:tcPr>
          <w:p>
            <w:pPr>
              <w:pStyle w:val="TableContents"/>
              <w:bidi w:val="0"/>
              <w:spacing w:before="0" w:after="283"/>
              <w:jc w:val="start"/>
              <w:rPr/>
            </w:pPr>
            <w:r>
              <w:rPr/>
              <w:t xml:space="preserve">‘ </w:t>
            </w:r>
            <w:r>
              <w:rPr/>
              <w:t xml:space="preserve">t’ value </w:t>
            </w:r>
          </w:p>
        </w:tc>
        <w:tc>
          <w:tcPr>
            <w:tcW w:w="1726" w:type="dxa"/>
            <w:tcBorders/>
            <w:vAlign w:val="center"/>
          </w:tcPr>
          <w:p>
            <w:pPr>
              <w:pStyle w:val="TableContents"/>
              <w:bidi w:val="0"/>
              <w:spacing w:before="0" w:after="283"/>
              <w:jc w:val="start"/>
              <w:rPr/>
            </w:pPr>
            <w:r>
              <w:rPr/>
              <w:t xml:space="preserve">Level of sign. </w:t>
            </w:r>
          </w:p>
        </w:tc>
      </w:tr>
      <w:tr>
        <w:trPr/>
        <w:tc>
          <w:tcPr>
            <w:tcW w:w="1546" w:type="dxa"/>
            <w:tcBorders/>
            <w:vAlign w:val="center"/>
          </w:tcPr>
          <w:p>
            <w:pPr>
              <w:pStyle w:val="TableContents"/>
              <w:bidi w:val="0"/>
              <w:spacing w:before="0" w:after="283"/>
              <w:jc w:val="start"/>
              <w:rPr/>
            </w:pPr>
            <w:r>
              <w:rPr/>
              <w:t xml:space="preserve">Hostelites </w:t>
            </w:r>
          </w:p>
        </w:tc>
        <w:tc>
          <w:tcPr>
            <w:tcW w:w="406" w:type="dxa"/>
            <w:tcBorders/>
            <w:vAlign w:val="center"/>
          </w:tcPr>
          <w:p>
            <w:pPr>
              <w:pStyle w:val="TableContents"/>
              <w:bidi w:val="0"/>
              <w:spacing w:before="0" w:after="283"/>
              <w:jc w:val="start"/>
              <w:rPr/>
            </w:pPr>
            <w:r>
              <w:rPr/>
              <w:t xml:space="preserve">60 </w:t>
            </w:r>
          </w:p>
        </w:tc>
        <w:tc>
          <w:tcPr>
            <w:tcW w:w="766" w:type="dxa"/>
            <w:tcBorders/>
            <w:vAlign w:val="center"/>
          </w:tcPr>
          <w:p>
            <w:pPr>
              <w:pStyle w:val="TableContents"/>
              <w:bidi w:val="0"/>
              <w:spacing w:before="0" w:after="283"/>
              <w:jc w:val="start"/>
              <w:rPr/>
            </w:pPr>
            <w:r>
              <w:rPr/>
              <w:t xml:space="preserve">25. 06 </w:t>
            </w:r>
          </w:p>
        </w:tc>
        <w:tc>
          <w:tcPr>
            <w:tcW w:w="646" w:type="dxa"/>
            <w:tcBorders/>
            <w:vAlign w:val="center"/>
          </w:tcPr>
          <w:p>
            <w:pPr>
              <w:pStyle w:val="TableContents"/>
              <w:bidi w:val="0"/>
              <w:spacing w:before="0" w:after="283"/>
              <w:jc w:val="start"/>
              <w:rPr/>
            </w:pPr>
            <w:r>
              <w:rPr/>
              <w:t xml:space="preserve">8. 45 </w:t>
            </w:r>
          </w:p>
        </w:tc>
        <w:tc>
          <w:tcPr>
            <w:tcW w:w="1006" w:type="dxa"/>
            <w:tcBorders/>
            <w:vAlign w:val="center"/>
          </w:tcPr>
          <w:p>
            <w:pPr>
              <w:pStyle w:val="TableContents"/>
              <w:bidi w:val="0"/>
              <w:spacing w:before="0" w:after="283"/>
              <w:jc w:val="start"/>
              <w:rPr/>
            </w:pPr>
            <w:r>
              <w:rPr/>
              <w:t xml:space="preserve">0. 4 </w:t>
            </w:r>
          </w:p>
        </w:tc>
        <w:tc>
          <w:tcPr>
            <w:tcW w:w="1726" w:type="dxa"/>
            <w:tcBorders/>
            <w:vAlign w:val="center"/>
          </w:tcPr>
          <w:p>
            <w:pPr>
              <w:pStyle w:val="TableContents"/>
              <w:bidi w:val="0"/>
              <w:spacing w:before="0" w:after="283"/>
              <w:jc w:val="start"/>
              <w:rPr/>
            </w:pPr>
            <w:r>
              <w:rPr/>
              <w:t xml:space="preserve">Non-Significant </w:t>
            </w:r>
          </w:p>
        </w:tc>
      </w:tr>
      <w:tr>
        <w:trPr/>
        <w:tc>
          <w:tcPr>
            <w:tcW w:w="1546" w:type="dxa"/>
            <w:tcBorders/>
            <w:vAlign w:val="center"/>
          </w:tcPr>
          <w:p>
            <w:pPr>
              <w:pStyle w:val="TableContents"/>
              <w:bidi w:val="0"/>
              <w:spacing w:before="0" w:after="283"/>
              <w:jc w:val="start"/>
              <w:rPr/>
            </w:pPr>
            <w:r>
              <w:rPr/>
              <w:t xml:space="preserve">Non-hostelites </w:t>
            </w:r>
          </w:p>
        </w:tc>
        <w:tc>
          <w:tcPr>
            <w:tcW w:w="406" w:type="dxa"/>
            <w:tcBorders/>
            <w:vAlign w:val="center"/>
          </w:tcPr>
          <w:p>
            <w:pPr>
              <w:pStyle w:val="TableContents"/>
              <w:bidi w:val="0"/>
              <w:spacing w:before="0" w:after="283"/>
              <w:jc w:val="start"/>
              <w:rPr/>
            </w:pPr>
            <w:r>
              <w:rPr/>
              <w:t xml:space="preserve">60 </w:t>
            </w:r>
          </w:p>
        </w:tc>
        <w:tc>
          <w:tcPr>
            <w:tcW w:w="766" w:type="dxa"/>
            <w:tcBorders/>
            <w:vAlign w:val="center"/>
          </w:tcPr>
          <w:p>
            <w:pPr>
              <w:pStyle w:val="TableContents"/>
              <w:bidi w:val="0"/>
              <w:spacing w:before="0" w:after="283"/>
              <w:jc w:val="start"/>
              <w:rPr/>
            </w:pPr>
            <w:r>
              <w:rPr/>
              <w:t xml:space="preserve">25. 65 </w:t>
            </w:r>
          </w:p>
        </w:tc>
        <w:tc>
          <w:tcPr>
            <w:tcW w:w="646" w:type="dxa"/>
            <w:tcBorders/>
            <w:vAlign w:val="center"/>
          </w:tcPr>
          <w:p>
            <w:pPr>
              <w:pStyle w:val="TableContents"/>
              <w:bidi w:val="0"/>
              <w:spacing w:before="0" w:after="283"/>
              <w:jc w:val="start"/>
              <w:rPr/>
            </w:pPr>
            <w:r>
              <w:rPr/>
              <w:t xml:space="preserve">7. 43 </w:t>
            </w:r>
          </w:p>
        </w:tc>
        <w:tc>
          <w:tcPr>
            <w:tcW w:w="2732" w:type="dxa"/>
            <w:gridSpan w:val="2"/>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Table-1 shows the mean for 60 hostelites students and 60 non-hostelites students are 25. 06 and 25. 65. The S. D value for 60 hostelites students and 60 non-hostelites students are 8. 45 and 7. 43. The ‘ t’ value for hostelits and non-hostelites students, which is 0. 4, has been found no significant at 0. 05 level. Thus, it shows the no significant effect of hostel factor on the mental health of the students. This result supports hypothesis (1). </w:t>
      </w:r>
    </w:p>
    <w:p>
      <w:pPr>
        <w:pStyle w:val="TextBody"/>
        <w:bidi w:val="0"/>
        <w:jc w:val="start"/>
        <w:rPr>
          <w:u w:val="single"/>
        </w:rPr>
      </w:pPr>
      <w:r>
        <w:rPr>
          <w:u w:val="single"/>
        </w:rPr>
        <w:t xml:space="preserve">TABLE-2 </w:t>
      </w:r>
    </w:p>
    <w:tbl>
      <w:tblPr>
        <w:tblW w:w="6126" w:type="dxa"/>
        <w:jc w:val="start"/>
        <w:tblInd w:w="0" w:type="dxa"/>
        <w:tblLayout w:type="fixed"/>
        <w:tblCellMar>
          <w:top w:w="28" w:type="dxa"/>
          <w:start w:w="28" w:type="dxa"/>
          <w:bottom w:w="28" w:type="dxa"/>
          <w:end w:w="28" w:type="dxa"/>
        </w:tblCellMar>
      </w:tblPr>
      <w:tblGrid>
        <w:gridCol w:w="1621"/>
        <w:gridCol w:w="406"/>
        <w:gridCol w:w="766"/>
        <w:gridCol w:w="646"/>
        <w:gridCol w:w="1006"/>
        <w:gridCol w:w="1681"/>
      </w:tblGrid>
      <w:tr>
        <w:trPr/>
        <w:tc>
          <w:tcPr>
            <w:tcW w:w="1621" w:type="dxa"/>
            <w:tcBorders/>
            <w:vAlign w:val="center"/>
          </w:tcPr>
          <w:p>
            <w:pPr>
              <w:pStyle w:val="TableContents"/>
              <w:bidi w:val="0"/>
              <w:spacing w:before="0" w:after="283"/>
              <w:jc w:val="start"/>
              <w:rPr/>
            </w:pPr>
            <w:r>
              <w:rPr/>
              <w:t xml:space="preserve">Group </w:t>
            </w:r>
          </w:p>
        </w:tc>
        <w:tc>
          <w:tcPr>
            <w:tcW w:w="406" w:type="dxa"/>
            <w:tcBorders/>
            <w:vAlign w:val="center"/>
          </w:tcPr>
          <w:p>
            <w:pPr>
              <w:pStyle w:val="TableContents"/>
              <w:bidi w:val="0"/>
              <w:spacing w:before="0" w:after="283"/>
              <w:jc w:val="start"/>
              <w:rPr/>
            </w:pPr>
            <w:r>
              <w:rPr/>
              <w:t xml:space="preserve">n </w:t>
            </w:r>
          </w:p>
        </w:tc>
        <w:tc>
          <w:tcPr>
            <w:tcW w:w="766" w:type="dxa"/>
            <w:tcBorders/>
            <w:vAlign w:val="center"/>
          </w:tcPr>
          <w:p>
            <w:pPr>
              <w:pStyle w:val="TableContents"/>
              <w:bidi w:val="0"/>
              <w:spacing w:before="0" w:after="283"/>
              <w:jc w:val="start"/>
              <w:rPr/>
            </w:pPr>
            <w:r>
              <w:rPr/>
              <w:t xml:space="preserve">Mean </w:t>
            </w:r>
          </w:p>
        </w:tc>
        <w:tc>
          <w:tcPr>
            <w:tcW w:w="646" w:type="dxa"/>
            <w:tcBorders/>
            <w:vAlign w:val="center"/>
          </w:tcPr>
          <w:p>
            <w:pPr>
              <w:pStyle w:val="TableContents"/>
              <w:bidi w:val="0"/>
              <w:spacing w:before="0" w:after="283"/>
              <w:jc w:val="start"/>
              <w:rPr/>
            </w:pPr>
            <w:r>
              <w:rPr/>
              <w:t xml:space="preserve">s. d </w:t>
            </w:r>
          </w:p>
        </w:tc>
        <w:tc>
          <w:tcPr>
            <w:tcW w:w="1006" w:type="dxa"/>
            <w:tcBorders/>
            <w:vAlign w:val="center"/>
          </w:tcPr>
          <w:p>
            <w:pPr>
              <w:pStyle w:val="TableContents"/>
              <w:bidi w:val="0"/>
              <w:spacing w:before="0" w:after="283"/>
              <w:jc w:val="start"/>
              <w:rPr/>
            </w:pPr>
            <w:r>
              <w:rPr/>
              <w:t xml:space="preserve">‘ </w:t>
            </w:r>
            <w:r>
              <w:rPr/>
              <w:t xml:space="preserve">t’ value </w:t>
            </w:r>
          </w:p>
        </w:tc>
        <w:tc>
          <w:tcPr>
            <w:tcW w:w="1681" w:type="dxa"/>
            <w:tcBorders/>
            <w:vAlign w:val="center"/>
          </w:tcPr>
          <w:p>
            <w:pPr>
              <w:pStyle w:val="TableContents"/>
              <w:bidi w:val="0"/>
              <w:spacing w:before="0" w:after="283"/>
              <w:jc w:val="start"/>
              <w:rPr/>
            </w:pPr>
            <w:r>
              <w:rPr/>
              <w:t xml:space="preserve">Level of sign. </w:t>
            </w:r>
          </w:p>
        </w:tc>
      </w:tr>
      <w:tr>
        <w:trPr/>
        <w:tc>
          <w:tcPr>
            <w:tcW w:w="1621" w:type="dxa"/>
            <w:tcBorders/>
            <w:vAlign w:val="center"/>
          </w:tcPr>
          <w:p>
            <w:pPr>
              <w:pStyle w:val="TableContents"/>
              <w:bidi w:val="0"/>
              <w:spacing w:before="0" w:after="283"/>
              <w:jc w:val="start"/>
              <w:rPr/>
            </w:pPr>
            <w:r>
              <w:rPr/>
              <w:t xml:space="preserve">Hostelites girs </w:t>
            </w:r>
          </w:p>
        </w:tc>
        <w:tc>
          <w:tcPr>
            <w:tcW w:w="406" w:type="dxa"/>
            <w:tcBorders/>
            <w:vAlign w:val="center"/>
          </w:tcPr>
          <w:p>
            <w:pPr>
              <w:pStyle w:val="TableContents"/>
              <w:bidi w:val="0"/>
              <w:spacing w:before="0" w:after="283"/>
              <w:jc w:val="start"/>
              <w:rPr/>
            </w:pPr>
            <w:r>
              <w:rPr/>
              <w:t xml:space="preserve">30 </w:t>
            </w:r>
          </w:p>
        </w:tc>
        <w:tc>
          <w:tcPr>
            <w:tcW w:w="766" w:type="dxa"/>
            <w:tcBorders/>
            <w:vAlign w:val="center"/>
          </w:tcPr>
          <w:p>
            <w:pPr>
              <w:pStyle w:val="TableContents"/>
              <w:bidi w:val="0"/>
              <w:spacing w:before="0" w:after="283"/>
              <w:jc w:val="start"/>
              <w:rPr/>
            </w:pPr>
            <w:r>
              <w:rPr/>
              <w:t xml:space="preserve">25. 35 </w:t>
            </w:r>
          </w:p>
        </w:tc>
        <w:tc>
          <w:tcPr>
            <w:tcW w:w="646" w:type="dxa"/>
            <w:tcBorders/>
            <w:vAlign w:val="center"/>
          </w:tcPr>
          <w:p>
            <w:pPr>
              <w:pStyle w:val="TableContents"/>
              <w:bidi w:val="0"/>
              <w:spacing w:before="0" w:after="283"/>
              <w:jc w:val="start"/>
              <w:rPr/>
            </w:pPr>
            <w:r>
              <w:rPr/>
              <w:t xml:space="preserve">8. 71 </w:t>
            </w:r>
          </w:p>
        </w:tc>
        <w:tc>
          <w:tcPr>
            <w:tcW w:w="1006" w:type="dxa"/>
            <w:tcBorders/>
            <w:vAlign w:val="center"/>
          </w:tcPr>
          <w:p>
            <w:pPr>
              <w:pStyle w:val="TableContents"/>
              <w:bidi w:val="0"/>
              <w:spacing w:before="0" w:after="283"/>
              <w:jc w:val="start"/>
              <w:rPr/>
            </w:pPr>
            <w:r>
              <w:rPr/>
              <w:t xml:space="preserve">0. 23 </w:t>
            </w:r>
          </w:p>
        </w:tc>
        <w:tc>
          <w:tcPr>
            <w:tcW w:w="1681" w:type="dxa"/>
            <w:tcBorders/>
            <w:vAlign w:val="center"/>
          </w:tcPr>
          <w:p>
            <w:pPr>
              <w:pStyle w:val="TableContents"/>
              <w:bidi w:val="0"/>
              <w:spacing w:before="0" w:after="283"/>
              <w:jc w:val="start"/>
              <w:rPr/>
            </w:pPr>
            <w:r>
              <w:rPr/>
              <w:t xml:space="preserve">Non-significant </w:t>
            </w:r>
          </w:p>
        </w:tc>
      </w:tr>
      <w:tr>
        <w:trPr/>
        <w:tc>
          <w:tcPr>
            <w:tcW w:w="1621" w:type="dxa"/>
            <w:tcBorders/>
            <w:vAlign w:val="center"/>
          </w:tcPr>
          <w:p>
            <w:pPr>
              <w:pStyle w:val="TableContents"/>
              <w:bidi w:val="0"/>
              <w:spacing w:before="0" w:after="283"/>
              <w:jc w:val="start"/>
              <w:rPr/>
            </w:pPr>
            <w:r>
              <w:rPr/>
              <w:t xml:space="preserve">Hostelites boys </w:t>
            </w:r>
          </w:p>
        </w:tc>
        <w:tc>
          <w:tcPr>
            <w:tcW w:w="406" w:type="dxa"/>
            <w:tcBorders/>
            <w:vAlign w:val="center"/>
          </w:tcPr>
          <w:p>
            <w:pPr>
              <w:pStyle w:val="TableContents"/>
              <w:bidi w:val="0"/>
              <w:spacing w:before="0" w:after="283"/>
              <w:jc w:val="start"/>
              <w:rPr/>
            </w:pPr>
            <w:r>
              <w:rPr/>
              <w:t xml:space="preserve">30 </w:t>
            </w:r>
          </w:p>
        </w:tc>
        <w:tc>
          <w:tcPr>
            <w:tcW w:w="766" w:type="dxa"/>
            <w:tcBorders/>
            <w:vAlign w:val="center"/>
          </w:tcPr>
          <w:p>
            <w:pPr>
              <w:pStyle w:val="TableContents"/>
              <w:bidi w:val="0"/>
              <w:spacing w:before="0" w:after="283"/>
              <w:jc w:val="start"/>
              <w:rPr/>
            </w:pPr>
            <w:r>
              <w:rPr/>
              <w:t xml:space="preserve">25. 17 </w:t>
            </w:r>
          </w:p>
        </w:tc>
        <w:tc>
          <w:tcPr>
            <w:tcW w:w="646" w:type="dxa"/>
            <w:tcBorders/>
            <w:vAlign w:val="center"/>
          </w:tcPr>
          <w:p>
            <w:pPr>
              <w:pStyle w:val="TableContents"/>
              <w:bidi w:val="0"/>
              <w:spacing w:before="0" w:after="283"/>
              <w:jc w:val="start"/>
              <w:rPr/>
            </w:pPr>
            <w:r>
              <w:rPr/>
              <w:t xml:space="preserve">8. 47 </w:t>
            </w:r>
          </w:p>
        </w:tc>
        <w:tc>
          <w:tcPr>
            <w:tcW w:w="2687" w:type="dxa"/>
            <w:gridSpan w:val="2"/>
            <w:tcBorders/>
          </w:tcPr>
          <w:p>
            <w:pPr>
              <w:pStyle w:val="TableContents"/>
              <w:bidi w:val="0"/>
              <w:spacing w:before="0" w:after="283"/>
              <w:jc w:val="start"/>
              <w:rPr>
                <w:sz w:val="4"/>
                <w:szCs w:val="4"/>
              </w:rPr>
            </w:pPr>
            <w:r>
              <w:rPr>
                <w:sz w:val="4"/>
                <w:szCs w:val="4"/>
              </w:rPr>
            </w:r>
          </w:p>
        </w:tc>
      </w:tr>
    </w:tbl>
    <w:p>
      <w:pPr>
        <w:pStyle w:val="TextBody"/>
        <w:bidi w:val="0"/>
        <w:jc w:val="start"/>
        <w:rPr>
          <w:u w:val="single"/>
        </w:rPr>
      </w:pPr>
      <w:r>
        <w:rPr>
          <w:u w:val="single"/>
        </w:rPr>
        <w:t xml:space="preserve">TABLE-3 </w:t>
      </w:r>
    </w:p>
    <w:tbl>
      <w:tblPr>
        <w:tblW w:w="6561" w:type="dxa"/>
        <w:jc w:val="start"/>
        <w:tblInd w:w="0" w:type="dxa"/>
        <w:tblLayout w:type="fixed"/>
        <w:tblCellMar>
          <w:top w:w="28" w:type="dxa"/>
          <w:start w:w="28" w:type="dxa"/>
          <w:bottom w:w="28" w:type="dxa"/>
          <w:end w:w="28" w:type="dxa"/>
        </w:tblCellMar>
      </w:tblPr>
      <w:tblGrid>
        <w:gridCol w:w="2056"/>
        <w:gridCol w:w="406"/>
        <w:gridCol w:w="766"/>
        <w:gridCol w:w="646"/>
        <w:gridCol w:w="1006"/>
        <w:gridCol w:w="1681"/>
      </w:tblGrid>
      <w:tr>
        <w:trPr/>
        <w:tc>
          <w:tcPr>
            <w:tcW w:w="2056" w:type="dxa"/>
            <w:tcBorders/>
            <w:vAlign w:val="center"/>
          </w:tcPr>
          <w:p>
            <w:pPr>
              <w:pStyle w:val="TableContents"/>
              <w:bidi w:val="0"/>
              <w:spacing w:before="0" w:after="283"/>
              <w:jc w:val="start"/>
              <w:rPr/>
            </w:pPr>
            <w:r>
              <w:rPr/>
              <w:t xml:space="preserve">Groups </w:t>
            </w:r>
          </w:p>
        </w:tc>
        <w:tc>
          <w:tcPr>
            <w:tcW w:w="406" w:type="dxa"/>
            <w:tcBorders/>
            <w:vAlign w:val="center"/>
          </w:tcPr>
          <w:p>
            <w:pPr>
              <w:pStyle w:val="TableContents"/>
              <w:bidi w:val="0"/>
              <w:spacing w:before="0" w:after="283"/>
              <w:jc w:val="start"/>
              <w:rPr/>
            </w:pPr>
            <w:r>
              <w:rPr/>
              <w:t xml:space="preserve">n </w:t>
            </w:r>
          </w:p>
        </w:tc>
        <w:tc>
          <w:tcPr>
            <w:tcW w:w="766" w:type="dxa"/>
            <w:tcBorders/>
            <w:vAlign w:val="center"/>
          </w:tcPr>
          <w:p>
            <w:pPr>
              <w:pStyle w:val="TableContents"/>
              <w:bidi w:val="0"/>
              <w:spacing w:before="0" w:after="283"/>
              <w:jc w:val="start"/>
              <w:rPr/>
            </w:pPr>
            <w:r>
              <w:rPr/>
              <w:t xml:space="preserve">Mean </w:t>
            </w:r>
          </w:p>
        </w:tc>
        <w:tc>
          <w:tcPr>
            <w:tcW w:w="646" w:type="dxa"/>
            <w:tcBorders/>
            <w:vAlign w:val="center"/>
          </w:tcPr>
          <w:p>
            <w:pPr>
              <w:pStyle w:val="TableContents"/>
              <w:bidi w:val="0"/>
              <w:spacing w:before="0" w:after="283"/>
              <w:jc w:val="start"/>
              <w:rPr/>
            </w:pPr>
            <w:r>
              <w:rPr/>
              <w:t xml:space="preserve">s. d </w:t>
            </w:r>
          </w:p>
        </w:tc>
        <w:tc>
          <w:tcPr>
            <w:tcW w:w="1006" w:type="dxa"/>
            <w:tcBorders/>
            <w:vAlign w:val="center"/>
          </w:tcPr>
          <w:p>
            <w:pPr>
              <w:pStyle w:val="TableContents"/>
              <w:bidi w:val="0"/>
              <w:spacing w:before="0" w:after="283"/>
              <w:jc w:val="start"/>
              <w:rPr/>
            </w:pPr>
            <w:r>
              <w:rPr/>
              <w:t xml:space="preserve">‘ </w:t>
            </w:r>
            <w:r>
              <w:rPr/>
              <w:t xml:space="preserve">t’ value </w:t>
            </w:r>
          </w:p>
        </w:tc>
        <w:tc>
          <w:tcPr>
            <w:tcW w:w="1681" w:type="dxa"/>
            <w:tcBorders/>
            <w:vAlign w:val="center"/>
          </w:tcPr>
          <w:p>
            <w:pPr>
              <w:pStyle w:val="TableContents"/>
              <w:bidi w:val="0"/>
              <w:spacing w:before="0" w:after="283"/>
              <w:jc w:val="start"/>
              <w:rPr/>
            </w:pPr>
            <w:r>
              <w:rPr/>
              <w:t xml:space="preserve">Level of sign. </w:t>
            </w:r>
          </w:p>
        </w:tc>
      </w:tr>
      <w:tr>
        <w:trPr/>
        <w:tc>
          <w:tcPr>
            <w:tcW w:w="2056" w:type="dxa"/>
            <w:tcBorders/>
            <w:vAlign w:val="center"/>
          </w:tcPr>
          <w:p>
            <w:pPr>
              <w:pStyle w:val="TableContents"/>
              <w:bidi w:val="0"/>
              <w:spacing w:before="0" w:after="283"/>
              <w:jc w:val="start"/>
              <w:rPr/>
            </w:pPr>
            <w:r>
              <w:rPr/>
              <w:t xml:space="preserve">Non-hostelites girls </w:t>
            </w:r>
          </w:p>
        </w:tc>
        <w:tc>
          <w:tcPr>
            <w:tcW w:w="406" w:type="dxa"/>
            <w:tcBorders/>
            <w:vAlign w:val="center"/>
          </w:tcPr>
          <w:p>
            <w:pPr>
              <w:pStyle w:val="TableContents"/>
              <w:bidi w:val="0"/>
              <w:spacing w:before="0" w:after="283"/>
              <w:jc w:val="start"/>
              <w:rPr/>
            </w:pPr>
            <w:r>
              <w:rPr/>
              <w:t xml:space="preserve">30 </w:t>
            </w:r>
          </w:p>
        </w:tc>
        <w:tc>
          <w:tcPr>
            <w:tcW w:w="766" w:type="dxa"/>
            <w:tcBorders/>
            <w:vAlign w:val="center"/>
          </w:tcPr>
          <w:p>
            <w:pPr>
              <w:pStyle w:val="TableContents"/>
              <w:bidi w:val="0"/>
              <w:spacing w:before="0" w:after="283"/>
              <w:jc w:val="start"/>
              <w:rPr/>
            </w:pPr>
            <w:r>
              <w:rPr/>
              <w:t xml:space="preserve">25. 52 </w:t>
            </w:r>
          </w:p>
        </w:tc>
        <w:tc>
          <w:tcPr>
            <w:tcW w:w="646" w:type="dxa"/>
            <w:tcBorders/>
            <w:vAlign w:val="center"/>
          </w:tcPr>
          <w:p>
            <w:pPr>
              <w:pStyle w:val="TableContents"/>
              <w:bidi w:val="0"/>
              <w:spacing w:before="0" w:after="283"/>
              <w:jc w:val="start"/>
              <w:rPr/>
            </w:pPr>
            <w:r>
              <w:rPr/>
              <w:t xml:space="preserve">7. 30 </w:t>
            </w:r>
          </w:p>
        </w:tc>
        <w:tc>
          <w:tcPr>
            <w:tcW w:w="1006" w:type="dxa"/>
            <w:tcBorders/>
            <w:vAlign w:val="center"/>
          </w:tcPr>
          <w:p>
            <w:pPr>
              <w:pStyle w:val="TableContents"/>
              <w:bidi w:val="0"/>
              <w:spacing w:before="0" w:after="283"/>
              <w:jc w:val="start"/>
              <w:rPr/>
            </w:pPr>
            <w:r>
              <w:rPr/>
              <w:t xml:space="preserve">0. 23 </w:t>
            </w:r>
          </w:p>
        </w:tc>
        <w:tc>
          <w:tcPr>
            <w:tcW w:w="1681" w:type="dxa"/>
            <w:tcBorders/>
            <w:vAlign w:val="center"/>
          </w:tcPr>
          <w:p>
            <w:pPr>
              <w:pStyle w:val="TableContents"/>
              <w:bidi w:val="0"/>
              <w:spacing w:before="0" w:after="283"/>
              <w:jc w:val="start"/>
              <w:rPr/>
            </w:pPr>
            <w:r>
              <w:rPr/>
              <w:t xml:space="preserve">Non-significant </w:t>
            </w:r>
          </w:p>
        </w:tc>
      </w:tr>
      <w:tr>
        <w:trPr/>
        <w:tc>
          <w:tcPr>
            <w:tcW w:w="2056" w:type="dxa"/>
            <w:tcBorders/>
            <w:vAlign w:val="center"/>
          </w:tcPr>
          <w:p>
            <w:pPr>
              <w:pStyle w:val="TableContents"/>
              <w:bidi w:val="0"/>
              <w:spacing w:before="0" w:after="283"/>
              <w:jc w:val="start"/>
              <w:rPr/>
            </w:pPr>
            <w:r>
              <w:rPr/>
              <w:t xml:space="preserve">Non-hostelites boys </w:t>
            </w:r>
          </w:p>
        </w:tc>
        <w:tc>
          <w:tcPr>
            <w:tcW w:w="406" w:type="dxa"/>
            <w:tcBorders/>
            <w:vAlign w:val="center"/>
          </w:tcPr>
          <w:p>
            <w:pPr>
              <w:pStyle w:val="TableContents"/>
              <w:bidi w:val="0"/>
              <w:spacing w:before="0" w:after="283"/>
              <w:jc w:val="start"/>
              <w:rPr/>
            </w:pPr>
            <w:r>
              <w:rPr/>
              <w:t xml:space="preserve">30 </w:t>
            </w:r>
          </w:p>
        </w:tc>
        <w:tc>
          <w:tcPr>
            <w:tcW w:w="766" w:type="dxa"/>
            <w:tcBorders/>
            <w:vAlign w:val="center"/>
          </w:tcPr>
          <w:p>
            <w:pPr>
              <w:pStyle w:val="TableContents"/>
              <w:bidi w:val="0"/>
              <w:spacing w:before="0" w:after="283"/>
              <w:jc w:val="start"/>
              <w:rPr/>
            </w:pPr>
            <w:r>
              <w:rPr/>
              <w:t xml:space="preserve">25. 97 </w:t>
            </w:r>
          </w:p>
        </w:tc>
        <w:tc>
          <w:tcPr>
            <w:tcW w:w="646" w:type="dxa"/>
            <w:tcBorders/>
            <w:vAlign w:val="center"/>
          </w:tcPr>
          <w:p>
            <w:pPr>
              <w:pStyle w:val="TableContents"/>
              <w:bidi w:val="0"/>
              <w:spacing w:before="0" w:after="283"/>
              <w:jc w:val="start"/>
              <w:rPr/>
            </w:pPr>
            <w:r>
              <w:rPr/>
              <w:t xml:space="preserve">7. 53 </w:t>
            </w:r>
          </w:p>
        </w:tc>
        <w:tc>
          <w:tcPr>
            <w:tcW w:w="2687" w:type="dxa"/>
            <w:gridSpan w:val="2"/>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2 &amp; 3 indicate there is no significant difference between the hostelites girls and hostelites boys. No significant difference is noted among the non-hostelites girls and boys. This result supports hypothesis (2 &amp; 3). </w:t>
      </w:r>
    </w:p>
    <w:p>
      <w:pPr>
        <w:pStyle w:val="TextBody"/>
        <w:bidi w:val="0"/>
        <w:jc w:val="start"/>
        <w:rPr>
          <w:u w:val="single"/>
        </w:rPr>
      </w:pPr>
      <w:r>
        <w:rPr>
          <w:u w:val="single"/>
        </w:rPr>
        <w:t xml:space="preserve">TABLE-4 </w:t>
      </w:r>
    </w:p>
    <w:tbl>
      <w:tblPr>
        <w:tblW w:w="6606" w:type="dxa"/>
        <w:jc w:val="start"/>
        <w:tblInd w:w="0" w:type="dxa"/>
        <w:tblLayout w:type="fixed"/>
        <w:tblCellMar>
          <w:top w:w="28" w:type="dxa"/>
          <w:start w:w="28" w:type="dxa"/>
          <w:bottom w:w="28" w:type="dxa"/>
          <w:end w:w="28" w:type="dxa"/>
        </w:tblCellMar>
      </w:tblPr>
      <w:tblGrid>
        <w:gridCol w:w="2056"/>
        <w:gridCol w:w="406"/>
        <w:gridCol w:w="766"/>
        <w:gridCol w:w="646"/>
        <w:gridCol w:w="1006"/>
        <w:gridCol w:w="1726"/>
      </w:tblGrid>
      <w:tr>
        <w:trPr/>
        <w:tc>
          <w:tcPr>
            <w:tcW w:w="2056" w:type="dxa"/>
            <w:tcBorders/>
            <w:vAlign w:val="center"/>
          </w:tcPr>
          <w:p>
            <w:pPr>
              <w:pStyle w:val="TableContents"/>
              <w:bidi w:val="0"/>
              <w:spacing w:before="0" w:after="283"/>
              <w:jc w:val="start"/>
              <w:rPr/>
            </w:pPr>
            <w:r>
              <w:rPr/>
              <w:t xml:space="preserve">Groups </w:t>
            </w:r>
          </w:p>
        </w:tc>
        <w:tc>
          <w:tcPr>
            <w:tcW w:w="406" w:type="dxa"/>
            <w:tcBorders/>
            <w:vAlign w:val="center"/>
          </w:tcPr>
          <w:p>
            <w:pPr>
              <w:pStyle w:val="TableContents"/>
              <w:bidi w:val="0"/>
              <w:spacing w:before="0" w:after="283"/>
              <w:jc w:val="start"/>
              <w:rPr/>
            </w:pPr>
            <w:r>
              <w:rPr/>
              <w:t xml:space="preserve">n </w:t>
            </w:r>
          </w:p>
        </w:tc>
        <w:tc>
          <w:tcPr>
            <w:tcW w:w="766" w:type="dxa"/>
            <w:tcBorders/>
            <w:vAlign w:val="center"/>
          </w:tcPr>
          <w:p>
            <w:pPr>
              <w:pStyle w:val="TableContents"/>
              <w:bidi w:val="0"/>
              <w:spacing w:before="0" w:after="283"/>
              <w:jc w:val="start"/>
              <w:rPr/>
            </w:pPr>
            <w:r>
              <w:rPr/>
              <w:t xml:space="preserve">Mean </w:t>
            </w:r>
          </w:p>
        </w:tc>
        <w:tc>
          <w:tcPr>
            <w:tcW w:w="646" w:type="dxa"/>
            <w:tcBorders/>
            <w:vAlign w:val="center"/>
          </w:tcPr>
          <w:p>
            <w:pPr>
              <w:pStyle w:val="TableContents"/>
              <w:bidi w:val="0"/>
              <w:spacing w:before="0" w:after="283"/>
              <w:jc w:val="start"/>
              <w:rPr/>
            </w:pPr>
            <w:r>
              <w:rPr/>
              <w:t xml:space="preserve">s. d </w:t>
            </w:r>
          </w:p>
        </w:tc>
        <w:tc>
          <w:tcPr>
            <w:tcW w:w="1006" w:type="dxa"/>
            <w:tcBorders/>
            <w:vAlign w:val="center"/>
          </w:tcPr>
          <w:p>
            <w:pPr>
              <w:pStyle w:val="TableContents"/>
              <w:bidi w:val="0"/>
              <w:spacing w:before="0" w:after="283"/>
              <w:jc w:val="start"/>
              <w:rPr/>
            </w:pPr>
            <w:r>
              <w:rPr/>
              <w:t xml:space="preserve">‘ </w:t>
            </w:r>
            <w:r>
              <w:rPr/>
              <w:t xml:space="preserve">t’ value </w:t>
            </w:r>
          </w:p>
        </w:tc>
        <w:tc>
          <w:tcPr>
            <w:tcW w:w="1726" w:type="dxa"/>
            <w:tcBorders/>
            <w:vAlign w:val="center"/>
          </w:tcPr>
          <w:p>
            <w:pPr>
              <w:pStyle w:val="TableContents"/>
              <w:bidi w:val="0"/>
              <w:spacing w:before="0" w:after="283"/>
              <w:jc w:val="start"/>
              <w:rPr/>
            </w:pPr>
            <w:r>
              <w:rPr/>
              <w:t xml:space="preserve">Level of sign. </w:t>
            </w:r>
          </w:p>
        </w:tc>
      </w:tr>
      <w:tr>
        <w:trPr/>
        <w:tc>
          <w:tcPr>
            <w:tcW w:w="2056" w:type="dxa"/>
            <w:tcBorders/>
            <w:vAlign w:val="center"/>
          </w:tcPr>
          <w:p>
            <w:pPr>
              <w:pStyle w:val="TableContents"/>
              <w:bidi w:val="0"/>
              <w:spacing w:before="0" w:after="283"/>
              <w:jc w:val="start"/>
              <w:rPr/>
            </w:pPr>
            <w:r>
              <w:rPr/>
              <w:t xml:space="preserve">Hostelites boys </w:t>
            </w:r>
          </w:p>
        </w:tc>
        <w:tc>
          <w:tcPr>
            <w:tcW w:w="406" w:type="dxa"/>
            <w:tcBorders/>
            <w:vAlign w:val="center"/>
          </w:tcPr>
          <w:p>
            <w:pPr>
              <w:pStyle w:val="TableContents"/>
              <w:bidi w:val="0"/>
              <w:spacing w:before="0" w:after="283"/>
              <w:jc w:val="start"/>
              <w:rPr/>
            </w:pPr>
            <w:r>
              <w:rPr/>
              <w:t xml:space="preserve">30 </w:t>
            </w:r>
          </w:p>
        </w:tc>
        <w:tc>
          <w:tcPr>
            <w:tcW w:w="766" w:type="dxa"/>
            <w:tcBorders/>
            <w:vAlign w:val="center"/>
          </w:tcPr>
          <w:p>
            <w:pPr>
              <w:pStyle w:val="TableContents"/>
              <w:bidi w:val="0"/>
              <w:spacing w:before="0" w:after="283"/>
              <w:jc w:val="start"/>
              <w:rPr/>
            </w:pPr>
            <w:r>
              <w:rPr/>
              <w:t xml:space="preserve">25. 17 </w:t>
            </w:r>
          </w:p>
        </w:tc>
        <w:tc>
          <w:tcPr>
            <w:tcW w:w="646" w:type="dxa"/>
            <w:tcBorders/>
            <w:vAlign w:val="center"/>
          </w:tcPr>
          <w:p>
            <w:pPr>
              <w:pStyle w:val="TableContents"/>
              <w:bidi w:val="0"/>
              <w:spacing w:before="0" w:after="283"/>
              <w:jc w:val="start"/>
              <w:rPr/>
            </w:pPr>
            <w:r>
              <w:rPr/>
              <w:t xml:space="preserve">8. 47 </w:t>
            </w:r>
          </w:p>
        </w:tc>
        <w:tc>
          <w:tcPr>
            <w:tcW w:w="1006" w:type="dxa"/>
            <w:tcBorders/>
            <w:vAlign w:val="center"/>
          </w:tcPr>
          <w:p>
            <w:pPr>
              <w:pStyle w:val="TableContents"/>
              <w:bidi w:val="0"/>
              <w:spacing w:before="0" w:after="283"/>
              <w:jc w:val="start"/>
              <w:rPr/>
            </w:pPr>
            <w:r>
              <w:rPr/>
              <w:t xml:space="preserve">0. 38 </w:t>
            </w:r>
          </w:p>
        </w:tc>
        <w:tc>
          <w:tcPr>
            <w:tcW w:w="1726" w:type="dxa"/>
            <w:tcBorders/>
            <w:vAlign w:val="center"/>
          </w:tcPr>
          <w:p>
            <w:pPr>
              <w:pStyle w:val="TableContents"/>
              <w:bidi w:val="0"/>
              <w:spacing w:before="0" w:after="283"/>
              <w:jc w:val="start"/>
              <w:rPr/>
            </w:pPr>
            <w:r>
              <w:rPr/>
              <w:t xml:space="preserve">Non-Significant </w:t>
            </w:r>
          </w:p>
        </w:tc>
      </w:tr>
      <w:tr>
        <w:trPr/>
        <w:tc>
          <w:tcPr>
            <w:tcW w:w="2056" w:type="dxa"/>
            <w:tcBorders/>
            <w:vAlign w:val="center"/>
          </w:tcPr>
          <w:p>
            <w:pPr>
              <w:pStyle w:val="TableContents"/>
              <w:bidi w:val="0"/>
              <w:spacing w:before="0" w:after="283"/>
              <w:jc w:val="start"/>
              <w:rPr/>
            </w:pPr>
            <w:r>
              <w:rPr/>
              <w:t xml:space="preserve">Non-hostelites boys </w:t>
            </w:r>
          </w:p>
        </w:tc>
        <w:tc>
          <w:tcPr>
            <w:tcW w:w="406" w:type="dxa"/>
            <w:tcBorders/>
            <w:vAlign w:val="center"/>
          </w:tcPr>
          <w:p>
            <w:pPr>
              <w:pStyle w:val="TableContents"/>
              <w:bidi w:val="0"/>
              <w:spacing w:before="0" w:after="283"/>
              <w:jc w:val="start"/>
              <w:rPr/>
            </w:pPr>
            <w:r>
              <w:rPr/>
              <w:t xml:space="preserve">30 </w:t>
            </w:r>
          </w:p>
        </w:tc>
        <w:tc>
          <w:tcPr>
            <w:tcW w:w="766" w:type="dxa"/>
            <w:tcBorders/>
            <w:vAlign w:val="center"/>
          </w:tcPr>
          <w:p>
            <w:pPr>
              <w:pStyle w:val="TableContents"/>
              <w:bidi w:val="0"/>
              <w:spacing w:before="0" w:after="283"/>
              <w:jc w:val="start"/>
              <w:rPr/>
            </w:pPr>
            <w:r>
              <w:rPr/>
              <w:t xml:space="preserve">25. 97 </w:t>
            </w:r>
          </w:p>
        </w:tc>
        <w:tc>
          <w:tcPr>
            <w:tcW w:w="646" w:type="dxa"/>
            <w:tcBorders/>
            <w:vAlign w:val="center"/>
          </w:tcPr>
          <w:p>
            <w:pPr>
              <w:pStyle w:val="TableContents"/>
              <w:bidi w:val="0"/>
              <w:spacing w:before="0" w:after="283"/>
              <w:jc w:val="start"/>
              <w:rPr/>
            </w:pPr>
            <w:r>
              <w:rPr/>
              <w:t xml:space="preserve">7. 53 </w:t>
            </w:r>
          </w:p>
        </w:tc>
        <w:tc>
          <w:tcPr>
            <w:tcW w:w="2732" w:type="dxa"/>
            <w:gridSpan w:val="2"/>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 table indicates the mean for 30 hostelites boys is 25. 17 and S. D is 8. 47 as well as the mean for 30 non-hostelites boys is 25. 97 and S. D is 7. 53. The ‘ t’ value is 0. 38 which has been found no significant at 0. 05 level. So, it indicates the hostelites and non-hostelites boys do not differ in their scores of mental health. The result supports hypothesis (4). </w:t>
      </w:r>
    </w:p>
    <w:p>
      <w:pPr>
        <w:pStyle w:val="TextBody"/>
        <w:bidi w:val="0"/>
        <w:jc w:val="start"/>
        <w:rPr>
          <w:u w:val="single"/>
        </w:rPr>
      </w:pPr>
      <w:r>
        <w:rPr>
          <w:u w:val="single"/>
        </w:rPr>
        <w:t xml:space="preserve">TABLE-5 </w:t>
      </w:r>
    </w:p>
    <w:tbl>
      <w:tblPr>
        <w:tblW w:w="6561" w:type="dxa"/>
        <w:jc w:val="start"/>
        <w:tblInd w:w="0" w:type="dxa"/>
        <w:tblLayout w:type="fixed"/>
        <w:tblCellMar>
          <w:top w:w="28" w:type="dxa"/>
          <w:start w:w="28" w:type="dxa"/>
          <w:bottom w:w="28" w:type="dxa"/>
          <w:end w:w="28" w:type="dxa"/>
        </w:tblCellMar>
      </w:tblPr>
      <w:tblGrid>
        <w:gridCol w:w="2011"/>
        <w:gridCol w:w="406"/>
        <w:gridCol w:w="766"/>
        <w:gridCol w:w="646"/>
        <w:gridCol w:w="1006"/>
        <w:gridCol w:w="1726"/>
      </w:tblGrid>
      <w:tr>
        <w:trPr/>
        <w:tc>
          <w:tcPr>
            <w:tcW w:w="2011" w:type="dxa"/>
            <w:tcBorders/>
            <w:vAlign w:val="center"/>
          </w:tcPr>
          <w:p>
            <w:pPr>
              <w:pStyle w:val="TableContents"/>
              <w:bidi w:val="0"/>
              <w:spacing w:before="0" w:after="283"/>
              <w:jc w:val="start"/>
              <w:rPr/>
            </w:pPr>
            <w:r>
              <w:rPr/>
              <w:t xml:space="preserve">Groups </w:t>
            </w:r>
          </w:p>
        </w:tc>
        <w:tc>
          <w:tcPr>
            <w:tcW w:w="406" w:type="dxa"/>
            <w:tcBorders/>
            <w:vAlign w:val="center"/>
          </w:tcPr>
          <w:p>
            <w:pPr>
              <w:pStyle w:val="TableContents"/>
              <w:bidi w:val="0"/>
              <w:spacing w:before="0" w:after="283"/>
              <w:jc w:val="start"/>
              <w:rPr/>
            </w:pPr>
            <w:r>
              <w:rPr/>
              <w:t xml:space="preserve">n </w:t>
            </w:r>
          </w:p>
        </w:tc>
        <w:tc>
          <w:tcPr>
            <w:tcW w:w="766" w:type="dxa"/>
            <w:tcBorders/>
            <w:vAlign w:val="center"/>
          </w:tcPr>
          <w:p>
            <w:pPr>
              <w:pStyle w:val="TableContents"/>
              <w:bidi w:val="0"/>
              <w:spacing w:before="0" w:after="283"/>
              <w:jc w:val="start"/>
              <w:rPr/>
            </w:pPr>
            <w:r>
              <w:rPr/>
              <w:t xml:space="preserve">Mean </w:t>
            </w:r>
          </w:p>
        </w:tc>
        <w:tc>
          <w:tcPr>
            <w:tcW w:w="646" w:type="dxa"/>
            <w:tcBorders/>
            <w:vAlign w:val="center"/>
          </w:tcPr>
          <w:p>
            <w:pPr>
              <w:pStyle w:val="TableContents"/>
              <w:bidi w:val="0"/>
              <w:spacing w:before="0" w:after="283"/>
              <w:jc w:val="start"/>
              <w:rPr/>
            </w:pPr>
            <w:r>
              <w:rPr/>
              <w:t xml:space="preserve">s. d. </w:t>
            </w:r>
          </w:p>
        </w:tc>
        <w:tc>
          <w:tcPr>
            <w:tcW w:w="1006" w:type="dxa"/>
            <w:tcBorders/>
            <w:vAlign w:val="center"/>
          </w:tcPr>
          <w:p>
            <w:pPr>
              <w:pStyle w:val="TableContents"/>
              <w:bidi w:val="0"/>
              <w:spacing w:before="0" w:after="283"/>
              <w:jc w:val="start"/>
              <w:rPr/>
            </w:pPr>
            <w:r>
              <w:rPr/>
              <w:t xml:space="preserve">‘ </w:t>
            </w:r>
            <w:r>
              <w:rPr/>
              <w:t xml:space="preserve">t’ value </w:t>
            </w:r>
          </w:p>
        </w:tc>
        <w:tc>
          <w:tcPr>
            <w:tcW w:w="1726" w:type="dxa"/>
            <w:tcBorders/>
            <w:vAlign w:val="center"/>
          </w:tcPr>
          <w:p>
            <w:pPr>
              <w:pStyle w:val="TableContents"/>
              <w:bidi w:val="0"/>
              <w:spacing w:before="0" w:after="283"/>
              <w:jc w:val="start"/>
              <w:rPr/>
            </w:pPr>
            <w:r>
              <w:rPr/>
              <w:t xml:space="preserve">Level of sign. </w:t>
            </w:r>
          </w:p>
        </w:tc>
      </w:tr>
      <w:tr>
        <w:trPr/>
        <w:tc>
          <w:tcPr>
            <w:tcW w:w="2011" w:type="dxa"/>
            <w:tcBorders/>
            <w:vAlign w:val="center"/>
          </w:tcPr>
          <w:p>
            <w:pPr>
              <w:pStyle w:val="TableContents"/>
              <w:bidi w:val="0"/>
              <w:spacing w:before="0" w:after="283"/>
              <w:jc w:val="start"/>
              <w:rPr/>
            </w:pPr>
            <w:r>
              <w:rPr/>
              <w:t xml:space="preserve">Hostelites girls </w:t>
            </w:r>
          </w:p>
        </w:tc>
        <w:tc>
          <w:tcPr>
            <w:tcW w:w="406" w:type="dxa"/>
            <w:tcBorders/>
            <w:vAlign w:val="center"/>
          </w:tcPr>
          <w:p>
            <w:pPr>
              <w:pStyle w:val="TableContents"/>
              <w:bidi w:val="0"/>
              <w:spacing w:before="0" w:after="283"/>
              <w:jc w:val="start"/>
              <w:rPr/>
            </w:pPr>
            <w:r>
              <w:rPr/>
              <w:t xml:space="preserve">30 </w:t>
            </w:r>
          </w:p>
        </w:tc>
        <w:tc>
          <w:tcPr>
            <w:tcW w:w="766" w:type="dxa"/>
            <w:tcBorders/>
            <w:vAlign w:val="center"/>
          </w:tcPr>
          <w:p>
            <w:pPr>
              <w:pStyle w:val="TableContents"/>
              <w:bidi w:val="0"/>
              <w:spacing w:before="0" w:after="283"/>
              <w:jc w:val="start"/>
              <w:rPr/>
            </w:pPr>
            <w:r>
              <w:rPr/>
              <w:t xml:space="preserve">25. 35 </w:t>
            </w:r>
          </w:p>
        </w:tc>
        <w:tc>
          <w:tcPr>
            <w:tcW w:w="646" w:type="dxa"/>
            <w:tcBorders/>
            <w:vAlign w:val="center"/>
          </w:tcPr>
          <w:p>
            <w:pPr>
              <w:pStyle w:val="TableContents"/>
              <w:bidi w:val="0"/>
              <w:spacing w:before="0" w:after="283"/>
              <w:jc w:val="start"/>
              <w:rPr/>
            </w:pPr>
            <w:r>
              <w:rPr/>
              <w:t xml:space="preserve">8. 71 </w:t>
            </w:r>
          </w:p>
        </w:tc>
        <w:tc>
          <w:tcPr>
            <w:tcW w:w="1006" w:type="dxa"/>
            <w:tcBorders/>
            <w:vAlign w:val="center"/>
          </w:tcPr>
          <w:p>
            <w:pPr>
              <w:pStyle w:val="TableContents"/>
              <w:bidi w:val="0"/>
              <w:spacing w:before="0" w:after="283"/>
              <w:jc w:val="start"/>
              <w:rPr/>
            </w:pPr>
            <w:r>
              <w:rPr/>
              <w:t xml:space="preserve">0. 05 </w:t>
            </w:r>
          </w:p>
        </w:tc>
        <w:tc>
          <w:tcPr>
            <w:tcW w:w="1726" w:type="dxa"/>
            <w:tcBorders/>
            <w:vAlign w:val="center"/>
          </w:tcPr>
          <w:p>
            <w:pPr>
              <w:pStyle w:val="TableContents"/>
              <w:bidi w:val="0"/>
              <w:spacing w:before="0" w:after="283"/>
              <w:jc w:val="start"/>
              <w:rPr/>
            </w:pPr>
            <w:r>
              <w:rPr/>
              <w:t xml:space="preserve">Non-Significant </w:t>
            </w:r>
          </w:p>
        </w:tc>
      </w:tr>
      <w:tr>
        <w:trPr/>
        <w:tc>
          <w:tcPr>
            <w:tcW w:w="2011" w:type="dxa"/>
            <w:tcBorders/>
            <w:vAlign w:val="center"/>
          </w:tcPr>
          <w:p>
            <w:pPr>
              <w:pStyle w:val="TableContents"/>
              <w:bidi w:val="0"/>
              <w:spacing w:before="0" w:after="283"/>
              <w:jc w:val="start"/>
              <w:rPr/>
            </w:pPr>
            <w:r>
              <w:rPr/>
              <w:t xml:space="preserve">Non-hostelites girls </w:t>
            </w:r>
          </w:p>
        </w:tc>
        <w:tc>
          <w:tcPr>
            <w:tcW w:w="406" w:type="dxa"/>
            <w:tcBorders/>
            <w:vAlign w:val="center"/>
          </w:tcPr>
          <w:p>
            <w:pPr>
              <w:pStyle w:val="TableContents"/>
              <w:bidi w:val="0"/>
              <w:spacing w:before="0" w:after="283"/>
              <w:jc w:val="start"/>
              <w:rPr/>
            </w:pPr>
            <w:r>
              <w:rPr/>
              <w:t xml:space="preserve">30 </w:t>
            </w:r>
          </w:p>
        </w:tc>
        <w:tc>
          <w:tcPr>
            <w:tcW w:w="766" w:type="dxa"/>
            <w:tcBorders/>
            <w:vAlign w:val="center"/>
          </w:tcPr>
          <w:p>
            <w:pPr>
              <w:pStyle w:val="TableContents"/>
              <w:bidi w:val="0"/>
              <w:spacing w:before="0" w:after="283"/>
              <w:jc w:val="start"/>
              <w:rPr/>
            </w:pPr>
            <w:r>
              <w:rPr/>
              <w:t xml:space="preserve">25. 52 </w:t>
            </w:r>
          </w:p>
        </w:tc>
        <w:tc>
          <w:tcPr>
            <w:tcW w:w="646" w:type="dxa"/>
            <w:tcBorders/>
            <w:vAlign w:val="center"/>
          </w:tcPr>
          <w:p>
            <w:pPr>
              <w:pStyle w:val="TableContents"/>
              <w:bidi w:val="0"/>
              <w:spacing w:before="0" w:after="283"/>
              <w:jc w:val="start"/>
              <w:rPr/>
            </w:pPr>
            <w:r>
              <w:rPr/>
              <w:t xml:space="preserve">7. 39 </w:t>
            </w:r>
          </w:p>
        </w:tc>
        <w:tc>
          <w:tcPr>
            <w:tcW w:w="2732" w:type="dxa"/>
            <w:gridSpan w:val="2"/>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 table indicates the mean for 30 hostelites girls is 25. 35 and S. D is 8. 71. The mean for 30 non-hostelites girls is 25. 52 and S. D is 7. 39. The‘ t’ value is 0. 05, which has been found no significant at 0. 05 level. It means that there no significant difference existed between the mental health of hostelites and non-hostelites girls. This result supports the hypothesis (5). </w:t>
      </w:r>
    </w:p>
    <w:p>
      <w:pPr>
        <w:pStyle w:val="TextBody"/>
        <w:bidi w:val="0"/>
        <w:spacing w:before="0" w:after="283"/>
        <w:jc w:val="start"/>
        <w:rPr/>
      </w:pPr>
      <w:r>
        <w:rPr>
          <w:rStyle w:val="Emphasis"/>
          <w:u w:val="single"/>
        </w:rPr>
        <w:t xml:space="preserve">References: </w:t>
      </w:r>
    </w:p>
    <w:p>
      <w:pPr>
        <w:pStyle w:val="TextBody"/>
        <w:numPr>
          <w:ilvl w:val="0"/>
          <w:numId w:val="5"/>
        </w:numPr>
        <w:tabs>
          <w:tab w:val="clear" w:pos="1134"/>
          <w:tab w:val="left" w:pos="709" w:leader="none"/>
        </w:tabs>
        <w:bidi w:val="0"/>
        <w:spacing w:before="0" w:after="0"/>
        <w:ind w:start="709" w:hanging="283"/>
        <w:jc w:val="start"/>
        <w:rPr/>
      </w:pPr>
      <w:r>
        <w:rPr/>
        <w:t xml:space="preserve">G. Wilson &amp; L. Clark (1996) “ Abnormal Psychology” Allyn and Bacon, US </w:t>
      </w:r>
    </w:p>
    <w:p>
      <w:pPr>
        <w:pStyle w:val="TextBody"/>
        <w:numPr>
          <w:ilvl w:val="0"/>
          <w:numId w:val="5"/>
        </w:numPr>
        <w:tabs>
          <w:tab w:val="clear" w:pos="1134"/>
          <w:tab w:val="left" w:pos="709" w:leader="none"/>
        </w:tabs>
        <w:bidi w:val="0"/>
        <w:spacing w:before="0" w:after="0"/>
        <w:ind w:start="709" w:hanging="283"/>
        <w:jc w:val="start"/>
        <w:rPr/>
      </w:pPr>
      <w:r>
        <w:rPr/>
        <w:t xml:space="preserve">Jessica &amp; Kevin Vonway (Jan.-2004) “ Higher rates of depression in women- role of gender blasé within the family” Journal of women health, Vol.-13, 69-76 </w:t>
      </w:r>
    </w:p>
    <w:p>
      <w:pPr>
        <w:pStyle w:val="TextBody"/>
        <w:numPr>
          <w:ilvl w:val="0"/>
          <w:numId w:val="5"/>
        </w:numPr>
        <w:tabs>
          <w:tab w:val="clear" w:pos="1134"/>
          <w:tab w:val="left" w:pos="709" w:leader="none"/>
        </w:tabs>
        <w:bidi w:val="0"/>
        <w:spacing w:before="0" w:after="0"/>
        <w:ind w:start="709" w:hanging="283"/>
        <w:jc w:val="start"/>
        <w:rPr/>
      </w:pPr>
      <w:r>
        <w:rPr/>
        <w:t xml:space="preserve">Robert &amp; Joseph M. (2002) “ The psychodynamics of gender and gender role” An empirical study in psychoanalytic theories, American Psychological Association, Vol,-10, Washington D. C., 251-269 </w:t>
      </w:r>
    </w:p>
    <w:p>
      <w:pPr>
        <w:pStyle w:val="TextBody"/>
        <w:numPr>
          <w:ilvl w:val="0"/>
          <w:numId w:val="5"/>
        </w:numPr>
        <w:tabs>
          <w:tab w:val="clear" w:pos="1134"/>
          <w:tab w:val="left" w:pos="709" w:leader="none"/>
        </w:tabs>
        <w:bidi w:val="0"/>
        <w:spacing w:before="0" w:after="0"/>
        <w:ind w:start="709" w:hanging="283"/>
        <w:jc w:val="start"/>
        <w:rPr/>
      </w:pPr>
      <w:r>
        <w:rPr/>
        <w:t xml:space="preserve">Sarson I. &amp; Sarson B. (1998) “ Abnormal Psychology” Prentice Hall Pvt. Ltd. New Delhi </w:t>
      </w:r>
    </w:p>
    <w:p>
      <w:pPr>
        <w:pStyle w:val="TextBody"/>
        <w:numPr>
          <w:ilvl w:val="0"/>
          <w:numId w:val="5"/>
        </w:numPr>
        <w:tabs>
          <w:tab w:val="clear" w:pos="1134"/>
          <w:tab w:val="left" w:pos="709" w:leader="none"/>
        </w:tabs>
        <w:bidi w:val="0"/>
        <w:spacing w:before="0" w:after="283"/>
        <w:ind w:start="709" w:hanging="283"/>
        <w:jc w:val="start"/>
        <w:rPr/>
      </w:pPr>
      <w:r>
        <w:rPr/>
        <w:t xml:space="preserve">Shah Namita (March-2008) “ A study of depression among men and women: with reference to gender discrimination” Manovignan na Sanshodhan Patro-1, Devine Publication, Ahmadabad, Vol,-1, 21-24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https://assignbuster.com/effect-of-hostel-living-situation-on-mental-health/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hostel living situation on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hostel-living-situation-on-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hostel living situation on mental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hostel living situation on mental health</dc:title>
  <dc:subject>Others;</dc:subject>
  <dc:creator>AssignBuster</dc:creator>
  <cp:keywords/>
  <dc:description>The result indicates that there is no significant difference between the mental health level of hostelites boys and girls.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