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But if the conduct of the parties is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But if the conduct of the parties is incompatible with marital relationship, then no such presumption arises. The continual and prolonged cohabitation, which gives rise to the presumption of a valid marriage, should be of such a nature, and under such circumstances, that a reasonable inference is naturally drawn, that the cohabitation was as man and wife without obstacle or impediment to a valid marriage between the two. Thus, where a woman is admittedly a prostitute, no such presumption will arise. However, it is established that if a valid marriage was solemnized between the parties, then it is immatrial that before the marriage the wife was a prostitute. In Muslim Law presumption of marriage arises in the following three cases: (i) When prolonged continual cohabitation is established between the parties as husband and wife, who have no legal impediment against their marriage.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(ii) When the man acknowledges the woman to be his wife. (iii) When a man acknowledges a child as his legitimate off spring, then a presumption of valid marriage between the man and the mother of the child arises.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https://assignbuster.com/but-if-the-conduct-of-the-parties-is/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But if the conduct of the parties is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but-if-the-conduct-of-the-parties-i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But if the conduct of the parties is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But if the conduct of the parties is</dc:title>
  <dc:subject>Others;</dc:subject>
  <dc:creator>AssignBuster</dc:creator>
  <cp:keywords/>
  <dc:description>The continual and prolonged cohabitation, which gives rise to the presumption of a valid marriage, should be of such a nature, and under such circumst...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