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"https://assignbuster.com/facing-the-future-face-emotion-processing-deficits-as-a-potential-biomarker-for-various-psychiatric-and-neurological-disorders/"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Facing the future: face-emotion processing deficits as a potential biomarker for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Behrmann, M., Moscovitch, M., and Winocur, G. (1994). Intact visual imagery and impaired visual perception in a patient with visual agnosia. </w:t>
      </w:r>
      <w:r>
        <w:rPr>
          <w:i/>
        </w:rPr>
        <w:t xml:space="preserve">J. Exp. Psychol. Hum. Percept. Perform. </w:t>
      </w:r>
      <w:r>
        <w:rPr/>
        <w:t xml:space="preserve">20, 1068–1087.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Bentin, S., Allison, T., Puce, A., Perez, E., and McCarthy, G. (1996). Electrophysiological studies of face perception in humans. </w:t>
      </w:r>
      <w:r>
        <w:rPr>
          <w:i/>
        </w:rPr>
        <w:t xml:space="preserve">J. Cogn. Neurosci. </w:t>
      </w:r>
      <w:r>
        <w:rPr/>
        <w:t xml:space="preserve">8, 551–565.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De Houwer, J., and Hermans, D. (1994). Differences in the affective processing of words and pictures. </w:t>
      </w:r>
      <w:r>
        <w:rPr>
          <w:i/>
        </w:rPr>
        <w:t xml:space="preserve">Cogn. Emot. </w:t>
      </w:r>
      <w:r>
        <w:rPr/>
        <w:t xml:space="preserve">8, 1–20.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Gauthier, I., and Nelson, C. (2001). The development of face expertise. </w:t>
      </w:r>
      <w:r>
        <w:rPr>
          <w:i/>
        </w:rPr>
        <w:t xml:space="preserve">Curr. Opin. Neurobiol. </w:t>
      </w:r>
      <w:r>
        <w:rPr/>
        <w:t xml:space="preserve">11, 219–224.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Golarai, G., Hong, S., Haas, B. W., Galaburda, A. M., Mills, D. L., Bellugi, U., Grill-Spector, K., and Reiss, A. L. (2010). The fusiform face area is enlarged in Williams syndrome. </w:t>
      </w:r>
      <w:r>
        <w:rPr>
          <w:i/>
        </w:rPr>
        <w:t xml:space="preserve">J. Neurosci. </w:t>
      </w:r>
      <w:r>
        <w:rPr/>
        <w:t xml:space="preserve">30, 6700–6712.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Haxby, J. V., Hoffman, E. A., and Gobbini, I. M. (2000). The distributed human neural system for face perception. </w:t>
      </w:r>
      <w:r>
        <w:rPr>
          <w:i/>
        </w:rPr>
        <w:t xml:space="preserve">Trends Cogn. Sci. (Regul. Ed.) </w:t>
      </w:r>
      <w:r>
        <w:rPr/>
        <w:t xml:space="preserve">4, 223–233.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Isaac, L., and Lincoln, A. (2011). Featural versus configural face processing in a rare genetic disorder: Williams syndrome. </w:t>
      </w:r>
      <w:r>
        <w:rPr>
          <w:i/>
        </w:rPr>
        <w:t xml:space="preserve">J. Intellect. Disabil. Res. </w:t>
      </w:r>
      <w:r>
        <w:rPr/>
        <w:t xml:space="preserve">55, 1034–1042.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Isaac, L., Vrijsen, J. N., Eling, P., van Oostrom, I., Speckens, A., and Becker, E. S. (2012). Verbal and facial-emotional Stroop tasks reveal specific attentional interferences in sad mood. </w:t>
      </w:r>
      <w:r>
        <w:rPr>
          <w:i/>
        </w:rPr>
        <w:t xml:space="preserve">Brain Behav. </w:t>
      </w:r>
      <w:r>
        <w:rPr/>
        <w:t xml:space="preserve">2, 74–83.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Kanwisher, N. G., McDermott, J., and Chun, M. M. (1997). The fusiform face area: a module in human extrastriate cortex specialized for face perception. </w:t>
      </w:r>
      <w:r>
        <w:rPr>
          <w:i/>
        </w:rPr>
        <w:t xml:space="preserve">J. Neurosci. </w:t>
      </w:r>
      <w:r>
        <w:rPr/>
        <w:t xml:space="preserve">17, 4302–4311.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Lange, W. G., Heuer, K., Langner, O., Keijsers, G. P. J., Becker, E. S., and Rinck, M. (2011). Face value: eye movements and the evaluation of facial crowds in social anxiety. </w:t>
      </w:r>
      <w:r>
        <w:rPr>
          <w:i/>
        </w:rPr>
        <w:t xml:space="preserve">J. Behav. Ther. Exp. Psychiatry </w:t>
      </w:r>
      <w:r>
        <w:rPr/>
        <w:t xml:space="preserve">42, 355–363. </w:t>
      </w:r>
    </w:p>
    <w:p>
      <w:pPr>
        <w:pStyle w:val="TextBody"/>
        <w:bidi w:val="0"/>
        <w:spacing w:before="0" w:after="283"/>
        <w:jc w:val="start"/>
        <w:rPr/>
      </w:pPr>
      <w:bookmarkStart w:id="11" w:name="B12"/>
      <w:bookmarkEnd w:id="11"/>
      <w:r>
        <w:rPr/>
        <w:t xml:space="preserve">MacLeod, C., Rutherford, E., Campbell, L., Ebsworthy, G., and Holker, L. (2002). Selective attention and emotional vulnerability: assessing the causal basis of their association through the experimental manipulation of attentional bias. </w:t>
      </w:r>
      <w:r>
        <w:rPr>
          <w:i/>
        </w:rPr>
        <w:t xml:space="preserve">J. Abnorm. Psychol. </w:t>
      </w:r>
      <w:r>
        <w:rPr/>
        <w:t xml:space="preserve">111, 107–123. </w:t>
      </w:r>
    </w:p>
    <w:p>
      <w:pPr>
        <w:pStyle w:val="TextBody"/>
        <w:bidi w:val="0"/>
        <w:spacing w:before="0" w:after="283"/>
        <w:jc w:val="start"/>
        <w:rPr/>
      </w:pPr>
      <w:bookmarkStart w:id="12" w:name="B13"/>
      <w:bookmarkEnd w:id="12"/>
      <w:r>
        <w:rPr/>
        <w:t xml:space="preserve">Norbury, R., Taylor, M. J., Selvaraj, S., Murphy, S. E., Harmer, C. J., and Cowen, P. J. (2009). Short-term antidepressant treatment modulates amygdala response to happy faces. </w:t>
      </w:r>
      <w:r>
        <w:rPr>
          <w:i/>
        </w:rPr>
        <w:t xml:space="preserve">Psychopharmacology (Berl.) </w:t>
      </w:r>
      <w:r>
        <w:rPr/>
        <w:t xml:space="preserve">206, 197–204. </w:t>
      </w:r>
    </w:p>
    <w:p>
      <w:pPr>
        <w:pStyle w:val="TextBody"/>
        <w:bidi w:val="0"/>
        <w:spacing w:before="0" w:after="283"/>
        <w:jc w:val="start"/>
        <w:rPr/>
      </w:pPr>
      <w:bookmarkStart w:id="13" w:name="B14"/>
      <w:bookmarkEnd w:id="13"/>
      <w:r>
        <w:rPr/>
        <w:t xml:space="preserve">Pierce, K., Müller, R. A., Ambrose, J., Allen, G., and Courchesne, E. (2001). Face processing occurs outside the fusiform “ face area” in autism: evidence from functional MRI. </w:t>
      </w:r>
      <w:r>
        <w:rPr>
          <w:i/>
        </w:rPr>
        <w:t xml:space="preserve">Brain </w:t>
      </w:r>
      <w:r>
        <w:rPr/>
        <w:t xml:space="preserve">124, 2059–2073. </w:t>
      </w:r>
    </w:p>
    <w:p>
      <w:pPr>
        <w:pStyle w:val="TextBody"/>
        <w:bidi w:val="0"/>
        <w:spacing w:before="0" w:after="283"/>
        <w:jc w:val="start"/>
        <w:rPr/>
      </w:pPr>
      <w:bookmarkStart w:id="14" w:name="B15"/>
      <w:bookmarkEnd w:id="14"/>
      <w:r>
        <w:rPr/>
        <w:t xml:space="preserve">Valentine, T. R., Powell, J. H., Davidoff, J. B., Letson, S., and Greenwood, R. (2006). Prevalence and correlates of face recognition impairments after acquired brain injury. </w:t>
      </w:r>
      <w:r>
        <w:rPr>
          <w:i/>
        </w:rPr>
        <w:t xml:space="preserve">Neuropsychol. Rehabil. </w:t>
      </w:r>
      <w:r>
        <w:rPr/>
        <w:t xml:space="preserve">16, 272–297. </w:t>
      </w:r>
    </w:p>
    <w:p>
      <w:pPr>
        <w:pStyle w:val="TextBody"/>
        <w:bidi w:val="0"/>
        <w:spacing w:before="0" w:after="283"/>
        <w:jc w:val="start"/>
        <w:rPr/>
      </w:pPr>
      <w:bookmarkStart w:id="15" w:name="B16"/>
      <w:bookmarkEnd w:id="15"/>
      <w:r>
        <w:rPr/>
        <w:t xml:space="preserve">Wadlinger, H., and Isaacowitz, D. (2008). Looking happy: the experimental manipulation of a positive visual attention bias. </w:t>
      </w:r>
      <w:r>
        <w:rPr>
          <w:i/>
        </w:rPr>
        <w:t xml:space="preserve">Emotion </w:t>
      </w:r>
      <w:r>
        <w:rPr/>
        <w:t xml:space="preserve">8, 121–126. </w:t>
      </w:r>
    </w:p>
    <w:p>
      <w:pPr>
        <w:pStyle w:val="TextBody"/>
        <w:bidi w:val="0"/>
        <w:spacing w:before="0" w:after="283"/>
        <w:jc w:val="start"/>
        <w:rPr/>
      </w:pPr>
      <w:bookmarkStart w:id="16" w:name="B17"/>
      <w:bookmarkEnd w:id="16"/>
      <w:r>
        <w:rPr/>
        <w:t xml:space="preserve">Wallraven, C., Schwaninger, A., and Bülthoff, H. H. (2005). Learning from humans: computational modeling of face recognition. </w:t>
      </w:r>
      <w:r>
        <w:rPr>
          <w:i/>
        </w:rPr>
        <w:t xml:space="preserve">Network </w:t>
      </w:r>
      <w:r>
        <w:rPr/>
        <w:t xml:space="preserve">16, 401–418. </w:t>
      </w:r>
    </w:p>
    <w:p>
      <w:pPr>
        <w:pStyle w:val="TextBody"/>
        <w:bidi w:val="0"/>
        <w:spacing w:before="0" w:after="283"/>
        <w:jc w:val="start"/>
        <w:rPr/>
      </w:pPr>
      <w:bookmarkStart w:id="17" w:name="B18"/>
      <w:bookmarkEnd w:id="17"/>
      <w:r>
        <w:rPr/>
        <w:t xml:space="preserve">Wynn, J. K., Lee, J., Horan, W. P., and Green, M. F. (2008). Using event related potentials to explore stages of facial affect recognition deficits in schizophrenia. </w:t>
      </w:r>
      <w:r>
        <w:rPr>
          <w:i/>
        </w:rPr>
        <w:t xml:space="preserve">Schizophr. Bull. </w:t>
      </w:r>
      <w:r>
        <w:rPr/>
        <w:t xml:space="preserve">34, 679–687. </w:t>
      </w:r>
    </w:p>
    <w:p>
      <w:pPr>
        <w:pStyle w:val="TextBody"/>
        <w:bidi w:val="0"/>
        <w:spacing w:before="0" w:after="283"/>
        <w:jc w:val="start"/>
        <w:rPr/>
      </w:pPr>
      <w:bookmarkStart w:id="18" w:name="B19"/>
      <w:bookmarkEnd w:id="18"/>
      <w:r>
        <w:rPr/>
        <w:t xml:space="preserve">Yin, R. K. (1969). Looking at upside-down faces. </w:t>
      </w:r>
      <w:r>
        <w:rPr>
          <w:i/>
        </w:rPr>
        <w:t xml:space="preserve">J. Exp. Psychol. </w:t>
      </w:r>
      <w:r>
        <w:rPr/>
        <w:t xml:space="preserve">81, 141–145.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https://assignbuster.com/facing-the-future-face-emotion-processing-deficits-as-a-potential-biomarker-for-various-psychiatric-and-neurological-disorders/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Facing the future: face-emotion processi...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Facing the future: face-emotion processing deficits as a potential biomarker for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Facing the future: face-emotion processing deficits as a potential biomarker for ...</dc:title>
  <dc:subject>Health &amp; Medicine;</dc:subject>
  <dc:creator>AssignBuster</dc:creator>
  <cp:keywords/>
  <dc:description>A, Ambrose, J, Allen, G, and Courchesne, 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