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Financial management rnoa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Powell Panther Corporation Cash flow ment For the year ended 31st December 2001 I. Cash Flow Operating Activities $ $ Cash receipt from operations 200 </w:t>
        <w:br/>
        <w:t xml:space="preserve">Cash paid to suppliers and employees 170 </w:t>
        <w:br/>
        <w:t xml:space="preserve">Cash generated from operation 30 </w:t>
        <w:br/>
        <w:t xml:space="preserve">Income taxes paid (41. 9) </w:t>
        <w:br/>
        <w:t xml:space="preserve">Interest paid (15) </w:t>
        <w:br/>
        <w:t xml:space="preserve">Net cash from operating activities (13. 4) </w:t>
        <w:br/>
        <w:t xml:space="preserve">II. Cash flow from investing activities </w:t>
        <w:br/>
        <w:t xml:space="preserve">Divided received 54. 1 </w:t>
        <w:br/>
        <w:t xml:space="preserve">Account received 30 </w:t>
        <w:br/>
        <w:t xml:space="preserve">Purchase of inventory 20 </w:t>
        <w:br/>
        <w:t xml:space="preserve">Cash flow investing activities104. 1 </w:t>
        <w:br/>
        <w:t xml:space="preserve">III. Cash flow from financing activities </w:t>
        <w:br/>
        <w:t xml:space="preserve">Proceeds from retained earnings 26. 5 </w:t>
        <w:br/>
        <w:t xml:space="preserve">Proceeds from long term bonds 150. 0 </w:t>
        <w:br/>
        <w:t xml:space="preserve">280. 6 </w:t>
        <w:br/>
        <w:t xml:space="preserve">Net increase in cash and cash equivalent 294. 0 </w:t>
        <w:br/>
        <w:t xml:space="preserve">Add cash and cash equivalents at the beginning of the period 10 </w:t>
        <w:br/>
        <w:t xml:space="preserve">Cash and equivalent at the end of the period 304 </w:t>
        <w:br/>
        <w:t xml:space="preserve">Du Pont analysis model usually provide a look that is unique into an operations financial structure and operating efficiency. With specific focus on ROA and ROE, the model is used to troubleshoot structural or operational problems from a financial perspective. </w:t>
        <w:br/>
        <w:t xml:space="preserve">Du Pont analysis decomposes return-on-net-operating assets (RNOA) into two multiplicative components: profit margin and asset turnover, both of which are largely driven by industry membership. The analysis is a useful tool in predicting future changes in RNOA. We can use the model to predict future changes in RNOA in both in-sample and out-of-sample forecasting tests. </w:t>
        <w:br/>
        <w:t xml:space="preserve">For the case of return-on-net-operating assets (RNOA) for the period 2001-2002 it shows that since:- </w:t>
        <w:br/>
        <w:t xml:space="preserve">NOA = Total assets - current assets </w:t>
        <w:br/>
        <w:t xml:space="preserve">For year 2001 = 672 - (108+67+72) = 425 </w:t>
        <w:br/>
        <w:t xml:space="preserve">RNOA= net profit after tax/net operating assets x 100% </w:t>
        <w:br/>
        <w:t xml:space="preserve">= 77/425 x 100%= 18% </w:t>
        <w:br/>
        <w:t xml:space="preserve">For year 2000 </w:t>
        <w:br/>
        <w:t xml:space="preserve">RNOA= net profit after tax/net operating assets x 100% </w:t>
        <w:br/>
        <w:t xml:space="preserve">62. 9/408. 5 x 100 = 15. 4% </w:t>
        <w:br/>
        <w:t xml:space="preserve">RNOA indicate the efficiency with which the firm is utilizing its operating net assets to generate profits. In the year 2000, Powell Panther Corporation generated $15. 4 as profit after tax for every $100. In the year 2001, RNOA increased to $18, this being an upward trend at the rate of 16. 8% as shown below. </w:t>
        <w:br/>
        <w:t xml:space="preserve">(18-15. 4/15. 4 x 100) = 16. 8% </w:t>
        <w:br/>
        <w:t xml:space="preserve">Using the above rate of increase in RNOA, the 2002 RNOA can be predicted as: </w:t>
        <w:br/>
        <w:t xml:space="preserve">(16. 8/100x18) + 18%= 21. 024%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https://assignbuster.com/financial-management-rnoa/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Financial management rnoa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ncial-management-rno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management rnoa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rnoa</dc:title>
  <dc:subject>Others;</dc:subject>
  <dc:creator>AssignBuster</dc:creator>
  <cp:keywords/>
  <dc:description>0 Add cash and cash equivalents at the beginning of the period 10 Cash and equivalent at the end of the period 304 Du Pont analysis model usually prov...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