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Heading2"/>
        <w:bidi w:val="0"/>
        <w:spacing w:before="200" w:after="120"/>
        <w:jc w:val="start"/>
        <w:rPr/>
      </w:pPr>
      <w:r>
        <w:rPr/>
        <w:t xml:space="preserve">Objectives: </w:t>
      </w:r>
    </w:p>
    <w:p>
      <w:pPr>
        <w:pStyle w:val="TextBody"/>
        <w:bidi w:val="0"/>
        <w:spacing w:before="0" w:after="283"/>
        <w:jc w:val="start"/>
        <w:rPr/>
      </w:pPr>
      <w:r>
        <w:rPr/>
        <w:t xml:space="preserve">To fined the rate of fermentation of the apple and carrot juices, and compare their rates to each other. Introduction: Procedure: A 5. 00 ml of apple juice was taken in a clean 150 ml conical flask and diluted with 50 ml of distal water. Then, 2. 00 grams of Baker's yeast and 5. 00 ml of solution of Pasteur's salts were added to the above conical flask. </w:t>
      </w:r>
    </w:p>
    <w:p>
      <w:pPr>
        <w:pStyle w:val="TextBody"/>
        <w:bidi w:val="0"/>
        <w:jc w:val="both"/>
        <w:rPr/>
      </w:pPr>
      <w:r>
        <w:rPr/>
        <w:t xml:space="preserve">The content of flask was shacked well and maintained the temperature of the reaction mixture between 35-40 ? c by using hot water path. After that, 10 drops of the reaction mixture from the flask were taken after 10 minutes and added to a test tube which contained 1. 00 ml of Benedict's reagent. The test tube was placed in hot water for about 2. 00 minutes and changes in color were noticed. The last step was repeated every 10. 00 minutes for 6 times. </w:t>
      </w:r>
    </w:p>
    <w:p>
      <w:pPr>
        <w:pStyle w:val="TextBody"/>
        <w:bidi w:val="0"/>
        <w:jc w:val="both"/>
        <w:rPr/>
      </w:pPr>
      <w:r>
        <w:rPr/>
        <w:t xml:space="preserve">The same procedure was used for carrot solution and rate of fermentation for both solutions were found. </w:t>
      </w:r>
    </w:p>
    <w:p>
      <w:pPr>
        <w:pStyle w:val="Heading2"/>
        <w:bidi w:val="0"/>
        <w:jc w:val="both"/>
        <w:rPr/>
      </w:pPr>
      <w:r>
        <w:rPr/>
        <w:t xml:space="preserve">Observation: </w:t>
      </w:r>
    </w:p>
    <w:p>
      <w:pPr>
        <w:pStyle w:val="TextBody"/>
        <w:numPr>
          <w:ilvl w:val="0"/>
          <w:numId w:val="1"/>
        </w:numPr>
        <w:tabs>
          <w:tab w:val="clear" w:pos="1134"/>
          <w:tab w:val="left" w:pos="709" w:leader="none"/>
        </w:tabs>
        <w:bidi w:val="0"/>
        <w:spacing w:before="0" w:after="0"/>
        <w:ind w:start="709" w:hanging="283"/>
        <w:jc w:val="both"/>
        <w:rPr/>
      </w:pPr>
      <w:r>
        <w:rPr/>
        <w:t xml:space="preserve">Volume of fruit juice taken = 5. 00 ml </w:t>
      </w:r>
    </w:p>
    <w:p>
      <w:pPr>
        <w:pStyle w:val="TextBody"/>
        <w:numPr>
          <w:ilvl w:val="0"/>
          <w:numId w:val="1"/>
        </w:numPr>
        <w:tabs>
          <w:tab w:val="clear" w:pos="1134"/>
          <w:tab w:val="left" w:pos="709" w:leader="none"/>
        </w:tabs>
        <w:bidi w:val="0"/>
        <w:spacing w:before="0" w:after="0"/>
        <w:ind w:start="709" w:hanging="283"/>
        <w:jc w:val="both"/>
        <w:rPr/>
      </w:pPr>
      <w:r>
        <w:rPr/>
        <w:t xml:space="preserve">Volume of dist. Water added = 50. 0 ml </w:t>
      </w:r>
    </w:p>
    <w:p>
      <w:pPr>
        <w:pStyle w:val="TextBody"/>
        <w:numPr>
          <w:ilvl w:val="0"/>
          <w:numId w:val="1"/>
        </w:numPr>
        <w:tabs>
          <w:tab w:val="clear" w:pos="1134"/>
          <w:tab w:val="left" w:pos="709" w:leader="none"/>
        </w:tabs>
        <w:bidi w:val="0"/>
        <w:spacing w:before="0" w:after="0"/>
        <w:ind w:start="709" w:hanging="283"/>
        <w:jc w:val="both"/>
        <w:rPr/>
      </w:pPr>
      <w:r>
        <w:rPr/>
        <w:t xml:space="preserve">Weight of Baker's yeast added = 2. 00 gm </w:t>
      </w:r>
    </w:p>
    <w:p>
      <w:pPr>
        <w:pStyle w:val="TextBody"/>
        <w:numPr>
          <w:ilvl w:val="0"/>
          <w:numId w:val="1"/>
        </w:numPr>
        <w:tabs>
          <w:tab w:val="clear" w:pos="1134"/>
          <w:tab w:val="left" w:pos="709" w:leader="none"/>
        </w:tabs>
        <w:bidi w:val="0"/>
        <w:ind w:start="709" w:hanging="283"/>
        <w:jc w:val="both"/>
        <w:rPr/>
      </w:pPr>
      <w:r>
        <w:rPr/>
        <w:t xml:space="preserve">Volume of solution of Pasteur's salts = 5. 00 ml </w:t>
      </w:r>
    </w:p>
    <w:tbl>
      <w:tblPr>
        <w:tblW w:w="9652" w:type="dxa"/>
        <w:jc w:val="start"/>
        <w:tblInd w:w="0" w:type="dxa"/>
        <w:tblLayout w:type="fixed"/>
        <w:tblCellMar>
          <w:top w:w="28" w:type="dxa"/>
          <w:start w:w="28" w:type="dxa"/>
          <w:bottom w:w="28" w:type="dxa"/>
          <w:end w:w="28" w:type="dxa"/>
        </w:tblCellMar>
      </w:tblPr>
      <w:tblGrid>
        <w:gridCol w:w="1276"/>
        <w:gridCol w:w="7066"/>
        <w:gridCol w:w="1156"/>
        <w:gridCol w:w="154"/>
      </w:tblGrid>
      <w:tr>
        <w:trPr/>
        <w:tc>
          <w:tcPr>
            <w:tcW w:w="1276" w:type="dxa"/>
            <w:tcBorders/>
            <w:vAlign w:val="center"/>
          </w:tcPr>
          <w:p>
            <w:pPr>
              <w:pStyle w:val="TableContents"/>
              <w:bidi w:val="0"/>
              <w:spacing w:before="0" w:after="283"/>
              <w:jc w:val="start"/>
              <w:rPr/>
            </w:pPr>
            <w:r>
              <w:rPr/>
              <w:t xml:space="preserve">Time (Min) </w:t>
            </w:r>
          </w:p>
        </w:tc>
        <w:tc>
          <w:tcPr>
            <w:tcW w:w="7066" w:type="dxa"/>
            <w:tcBorders/>
            <w:vAlign w:val="center"/>
          </w:tcPr>
          <w:p>
            <w:pPr>
              <w:pStyle w:val="TableContents"/>
              <w:bidi w:val="0"/>
              <w:spacing w:before="0" w:after="283"/>
              <w:jc w:val="start"/>
              <w:rPr/>
            </w:pPr>
            <w:r>
              <w:rPr/>
              <w:t xml:space="preserve">Color of reaction mixture on reaction with Benedict's solution in case of : </w:t>
            </w:r>
          </w:p>
        </w:tc>
        <w:tc>
          <w:tcPr>
            <w:tcW w:w="1156" w:type="dxa"/>
            <w:tcBorders/>
            <w:vAlign w:val="center"/>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1276" w:type="dxa"/>
            <w:tcBorders/>
            <w:vAlign w:val="center"/>
          </w:tcPr>
          <w:p>
            <w:pPr>
              <w:pStyle w:val="TableContents"/>
              <w:bidi w:val="0"/>
              <w:spacing w:before="0" w:after="283"/>
              <w:jc w:val="start"/>
              <w:rPr/>
            </w:pPr>
            <w:r>
              <w:rPr/>
              <w:t xml:space="preserve">20 </w:t>
            </w:r>
          </w:p>
        </w:tc>
        <w:tc>
          <w:tcPr>
            <w:tcW w:w="7066" w:type="dxa"/>
            <w:tcBorders/>
            <w:vAlign w:val="center"/>
          </w:tcPr>
          <w:p>
            <w:pPr>
              <w:pStyle w:val="TableContents"/>
              <w:bidi w:val="0"/>
              <w:spacing w:before="0" w:after="283"/>
              <w:jc w:val="start"/>
              <w:rPr/>
            </w:pPr>
            <w:r>
              <w:rPr/>
              <w:t xml:space="preserve">Green </w:t>
            </w:r>
          </w:p>
        </w:tc>
        <w:tc>
          <w:tcPr>
            <w:tcW w:w="1156" w:type="dxa"/>
            <w:tcBorders/>
            <w:vAlign w:val="center"/>
          </w:tcPr>
          <w:p>
            <w:pPr>
              <w:pStyle w:val="TableContents"/>
              <w:bidi w:val="0"/>
              <w:spacing w:before="0" w:after="283"/>
              <w:jc w:val="start"/>
              <w:rPr/>
            </w:pPr>
            <w:r>
              <w:rPr/>
              <w:t xml:space="preserve">Green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1276" w:type="dxa"/>
            <w:tcBorders/>
            <w:vAlign w:val="center"/>
          </w:tcPr>
          <w:p>
            <w:pPr>
              <w:pStyle w:val="TableContents"/>
              <w:bidi w:val="0"/>
              <w:spacing w:before="0" w:after="283"/>
              <w:jc w:val="start"/>
              <w:rPr/>
            </w:pPr>
            <w:r>
              <w:rPr/>
              <w:t xml:space="preserve">30 </w:t>
            </w:r>
          </w:p>
        </w:tc>
        <w:tc>
          <w:tcPr>
            <w:tcW w:w="7066" w:type="dxa"/>
            <w:tcBorders/>
            <w:vAlign w:val="center"/>
          </w:tcPr>
          <w:p>
            <w:pPr>
              <w:pStyle w:val="TableContents"/>
              <w:bidi w:val="0"/>
              <w:spacing w:before="0" w:after="283"/>
              <w:jc w:val="start"/>
              <w:rPr/>
            </w:pPr>
            <w:r>
              <w:rPr/>
              <w:t xml:space="preserve">Green </w:t>
            </w:r>
          </w:p>
        </w:tc>
        <w:tc>
          <w:tcPr>
            <w:tcW w:w="1156" w:type="dxa"/>
            <w:tcBorders/>
            <w:vAlign w:val="center"/>
          </w:tcPr>
          <w:p>
            <w:pPr>
              <w:pStyle w:val="TableContents"/>
              <w:bidi w:val="0"/>
              <w:spacing w:before="0" w:after="283"/>
              <w:jc w:val="start"/>
              <w:rPr/>
            </w:pPr>
            <w:r>
              <w:rPr/>
              <w:t xml:space="preserve">Green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1276" w:type="dxa"/>
            <w:tcBorders/>
            <w:vAlign w:val="center"/>
          </w:tcPr>
          <w:p>
            <w:pPr>
              <w:pStyle w:val="TableContents"/>
              <w:bidi w:val="0"/>
              <w:spacing w:before="0" w:after="283"/>
              <w:jc w:val="start"/>
              <w:rPr/>
            </w:pPr>
            <w:r>
              <w:rPr/>
              <w:t xml:space="preserve">40 </w:t>
            </w:r>
          </w:p>
        </w:tc>
        <w:tc>
          <w:tcPr>
            <w:tcW w:w="7066" w:type="dxa"/>
            <w:tcBorders/>
            <w:vAlign w:val="center"/>
          </w:tcPr>
          <w:p>
            <w:pPr>
              <w:pStyle w:val="TableContents"/>
              <w:bidi w:val="0"/>
              <w:spacing w:before="0" w:after="283"/>
              <w:jc w:val="start"/>
              <w:rPr/>
            </w:pPr>
            <w:r>
              <w:rPr/>
              <w:t xml:space="preserve">Green </w:t>
            </w:r>
          </w:p>
        </w:tc>
        <w:tc>
          <w:tcPr>
            <w:tcW w:w="1156" w:type="dxa"/>
            <w:tcBorders/>
            <w:vAlign w:val="center"/>
          </w:tcPr>
          <w:p>
            <w:pPr>
              <w:pStyle w:val="TableContents"/>
              <w:bidi w:val="0"/>
              <w:spacing w:before="0" w:after="283"/>
              <w:jc w:val="start"/>
              <w:rPr/>
            </w:pPr>
            <w:r>
              <w:rPr/>
              <w:t xml:space="preserve">Green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1276" w:type="dxa"/>
            <w:tcBorders/>
            <w:vAlign w:val="center"/>
          </w:tcPr>
          <w:p>
            <w:pPr>
              <w:pStyle w:val="TableContents"/>
              <w:bidi w:val="0"/>
              <w:spacing w:before="0" w:after="283"/>
              <w:jc w:val="start"/>
              <w:rPr/>
            </w:pPr>
            <w:r>
              <w:rPr/>
              <w:t xml:space="preserve">50 </w:t>
            </w:r>
          </w:p>
        </w:tc>
        <w:tc>
          <w:tcPr>
            <w:tcW w:w="7066" w:type="dxa"/>
            <w:tcBorders/>
            <w:vAlign w:val="center"/>
          </w:tcPr>
          <w:p>
            <w:pPr>
              <w:pStyle w:val="TableContents"/>
              <w:bidi w:val="0"/>
              <w:spacing w:before="0" w:after="283"/>
              <w:jc w:val="start"/>
              <w:rPr/>
            </w:pPr>
            <w:r>
              <w:rPr/>
              <w:t xml:space="preserve">Green </w:t>
            </w:r>
          </w:p>
        </w:tc>
        <w:tc>
          <w:tcPr>
            <w:tcW w:w="1156" w:type="dxa"/>
            <w:tcBorders/>
            <w:vAlign w:val="center"/>
          </w:tcPr>
          <w:p>
            <w:pPr>
              <w:pStyle w:val="TableContents"/>
              <w:bidi w:val="0"/>
              <w:spacing w:before="0" w:after="283"/>
              <w:jc w:val="start"/>
              <w:rPr/>
            </w:pPr>
            <w:r>
              <w:rPr/>
              <w:t xml:space="preserve">Green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1276" w:type="dxa"/>
            <w:tcBorders/>
            <w:vAlign w:val="center"/>
          </w:tcPr>
          <w:p>
            <w:pPr>
              <w:pStyle w:val="TableContents"/>
              <w:bidi w:val="0"/>
              <w:spacing w:before="0" w:after="283"/>
              <w:jc w:val="start"/>
              <w:rPr/>
            </w:pPr>
            <w:r>
              <w:rPr/>
              <w:t xml:space="preserve">60 </w:t>
            </w:r>
          </w:p>
        </w:tc>
        <w:tc>
          <w:tcPr>
            <w:tcW w:w="7066" w:type="dxa"/>
            <w:tcBorders/>
            <w:vAlign w:val="center"/>
          </w:tcPr>
          <w:p>
            <w:pPr>
              <w:pStyle w:val="TableContents"/>
              <w:bidi w:val="0"/>
              <w:spacing w:before="0" w:after="283"/>
              <w:jc w:val="start"/>
              <w:rPr/>
            </w:pPr>
            <w:r>
              <w:rPr/>
              <w:t xml:space="preserve">Green </w:t>
            </w:r>
          </w:p>
        </w:tc>
        <w:tc>
          <w:tcPr>
            <w:tcW w:w="1156" w:type="dxa"/>
            <w:tcBorders/>
            <w:vAlign w:val="center"/>
          </w:tcPr>
          <w:p>
            <w:pPr>
              <w:pStyle w:val="TableContents"/>
              <w:bidi w:val="0"/>
              <w:spacing w:before="0" w:after="283"/>
              <w:jc w:val="start"/>
              <w:rPr/>
            </w:pPr>
            <w:r>
              <w:rPr/>
              <w:t xml:space="preserve">Dark Blue </w:t>
            </w:r>
          </w:p>
        </w:tc>
        <w:tc>
          <w:tcPr>
            <w:tcW w:w="154"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science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science</dc:title>
  <dc:subject>Science;</dc:subject>
  <dc:creator>AssignBuster</dc:creator>
  <cp:keywords/>
  <dc:description>00 ml of solution of Pasteur's salts were added to the above conical flask.</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