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"https://assignbuster.com/coming-to-terms-with-complexity-limits-to-a-reductionist-view-of-aging/"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Coming to terms with complexity: limits to a reductionist view of aging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de Grey, A. D. (2005). The unfortunate influence of the weather on the rate of ageing: why human caloric restriction or its emulation may only extend life expectancy by 2–3 years. </w:t>
      </w:r>
      <w:r>
        <w:rPr>
          <w:i/>
        </w:rPr>
        <w:t xml:space="preserve">Gerontology </w:t>
      </w:r>
      <w:r>
        <w:rPr/>
        <w:t xml:space="preserve">51, 73–82.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Erbe, M., Ytournel, F., Pimentel, E. C., Sharifi, A. R., and Simianer, H. (2011). Power and robustness of three whole genome association mapping approaches in selected populations. </w:t>
      </w:r>
      <w:r>
        <w:rPr>
          <w:i/>
        </w:rPr>
        <w:t xml:space="preserve">J. Anim. Breed. Genet. </w:t>
      </w:r>
      <w:r>
        <w:rPr/>
        <w:t xml:space="preserve">128, 3–14.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Hanover, J. A., Krause, M. W., and Love, D. C. (2010). The hexosamine signaling pathway: O-GlcNAc cycling in feast or famine. </w:t>
      </w:r>
      <w:r>
        <w:rPr>
          <w:i/>
        </w:rPr>
        <w:t xml:space="preserve">Biochim. Biophys. Acta </w:t>
      </w:r>
      <w:r>
        <w:rPr/>
        <w:t xml:space="preserve">1800, 80–95.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Harrison, D. E., Strong, R., Sharp, Z. D., Nelson, J. F., Astle, C. M., Flurkey, K., Nadon, N. L., Wilkinson, J. E., Frenkel, K., Carter, C. S., Pahor, M., Javors, M. A., Fernandez, E., and Miller, R. A. (2009). Rapamycin fed late in life extends lifespan in genetically heterogeneous mice. </w:t>
      </w:r>
      <w:r>
        <w:rPr>
          <w:i/>
        </w:rPr>
        <w:t xml:space="preserve">Nature </w:t>
      </w:r>
      <w:r>
        <w:rPr/>
        <w:t xml:space="preserve">460, 392–395.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Kenyon, C. (2005). The plasticity of aging: insights from long-lived mutants. </w:t>
      </w:r>
      <w:r>
        <w:rPr>
          <w:i/>
        </w:rPr>
        <w:t xml:space="preserve">Cell </w:t>
      </w:r>
      <w:r>
        <w:rPr/>
        <w:t xml:space="preserve">120, 449–460.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Kim, S. K. (2007). Common aging pathways in worms, flies, mice, and humans. </w:t>
      </w:r>
      <w:r>
        <w:rPr>
          <w:i/>
        </w:rPr>
        <w:t xml:space="preserve">J. Exp. Biol. </w:t>
      </w:r>
      <w:r>
        <w:rPr/>
        <w:t xml:space="preserve">210, 1607–1612.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Klebanov, S., Astle, C. M., Roderick, T. H., Flurkey, K., Archer, J. R., Chen, J., and Harrison, D. E. (2001). Maximum life spans in mice are extended by wild strain alleles. </w:t>
      </w:r>
      <w:r>
        <w:rPr>
          <w:i/>
        </w:rPr>
        <w:t xml:space="preserve">Exp. Biol. Med. (Maywood) </w:t>
      </w:r>
      <w:r>
        <w:rPr/>
        <w:t xml:space="preserve">226, 854–859.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Lai, C. Q., Parnell, L. D., Lyman, R. F., Ordovas, J. M., and Mackay, T. F. (2007). Candidate genes affecting </w:t>
      </w:r>
      <w:r>
        <w:rPr>
          <w:i/>
        </w:rPr>
        <w:t xml:space="preserve">Drosophila </w:t>
      </w:r>
      <w:r>
        <w:rPr/>
        <w:t xml:space="preserve">life span identified by integrating microarray gene expression analysis and QTL mapping. </w:t>
      </w:r>
      <w:r>
        <w:rPr>
          <w:i/>
        </w:rPr>
        <w:t xml:space="preserve">Mech. Ageing Dev. </w:t>
      </w:r>
      <w:r>
        <w:rPr/>
        <w:t xml:space="preserve">128, 237–249.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Lam, A. C., Powell, J., Wei, W. H., de Koning, D. J., and Haley, C. S. (2009). A combined strategy for quantitative trait loci detection by genome-wide association. </w:t>
      </w:r>
      <w:r>
        <w:rPr>
          <w:i/>
        </w:rPr>
        <w:t xml:space="preserve">BMC Proc </w:t>
      </w:r>
      <w:r>
        <w:rPr/>
        <w:t xml:space="preserve">3, S6.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Magwire, M. M., Yamamoto, A., Carbone, M. A., Roshina, N. V., Symonenko, A. V., Pasyukova, E. G., Morozova, T. V., and Mackay, T. F. (2010). Quantitative and molecular genetic analyses of mutations increasing Drosophila life span. </w:t>
      </w:r>
      <w:r>
        <w:rPr>
          <w:i/>
        </w:rPr>
        <w:t xml:space="preserve">PLoS Genet. </w:t>
      </w:r>
      <w:r>
        <w:rPr/>
        <w:t xml:space="preserve">6, e1001037. doi: 10. 1371/journal. pgen. 1001037 </w:t>
      </w:r>
    </w:p>
    <w:p>
      <w:pPr>
        <w:pStyle w:val="TextBody"/>
        <w:bidi w:val="0"/>
        <w:spacing w:before="0" w:after="283"/>
        <w:jc w:val="start"/>
        <w:rPr/>
      </w:pPr>
      <w:bookmarkStart w:id="11" w:name="B12"/>
      <w:bookmarkEnd w:id="11"/>
      <w:r>
        <w:rPr/>
        <w:t xml:space="preserve">Nikolich-Zugich, J., and Rudd, B. D. (2010). Immune memory and aging: an infinite or finite resource? </w:t>
      </w:r>
      <w:r>
        <w:rPr>
          <w:i/>
        </w:rPr>
        <w:t xml:space="preserve">Curr. Opin. Immunol. </w:t>
      </w:r>
      <w:r>
        <w:rPr/>
        <w:t xml:space="preserve">22, 535–540. </w:t>
      </w:r>
    </w:p>
    <w:p>
      <w:pPr>
        <w:pStyle w:val="TextBody"/>
        <w:bidi w:val="0"/>
        <w:spacing w:before="0" w:after="283"/>
        <w:jc w:val="start"/>
        <w:rPr/>
      </w:pPr>
      <w:bookmarkStart w:id="12" w:name="B13"/>
      <w:bookmarkEnd w:id="12"/>
      <w:r>
        <w:rPr/>
        <w:t xml:space="preserve">Parsons, C. A., Mroczkowski, H. J., McGuigan, F. E., Albagha, O. M., Manolagas, S., Reid, D. M., Ralston, S. H., and Shmookler Reis, R. J. (2005). Interspecies synteny mapping identifies a quantitative trait locus for bone mineral density on human chromosome Xp22. </w:t>
      </w:r>
      <w:r>
        <w:rPr>
          <w:i/>
        </w:rPr>
        <w:t xml:space="preserve">Hum. Mol. Genet. </w:t>
      </w:r>
      <w:r>
        <w:rPr/>
        <w:t xml:space="preserve">14, 3141–3148. </w:t>
      </w:r>
    </w:p>
    <w:p>
      <w:pPr>
        <w:pStyle w:val="TextBody"/>
        <w:bidi w:val="0"/>
        <w:spacing w:before="0" w:after="283"/>
        <w:jc w:val="start"/>
        <w:rPr/>
      </w:pPr>
      <w:bookmarkStart w:id="13" w:name="B14"/>
      <w:bookmarkEnd w:id="13"/>
      <w:r>
        <w:rPr/>
        <w:t xml:space="preserve">Shmookler Reis, R. J. (1989). Model systems for aging research: syncretic concepts and diversity of mechanisms. </w:t>
      </w:r>
      <w:r>
        <w:rPr>
          <w:i/>
        </w:rPr>
        <w:t xml:space="preserve">Genome </w:t>
      </w:r>
      <w:r>
        <w:rPr/>
        <w:t xml:space="preserve">31, 406–412. </w:t>
      </w:r>
    </w:p>
    <w:p>
      <w:pPr>
        <w:pStyle w:val="TextBody"/>
        <w:bidi w:val="0"/>
        <w:spacing w:before="0" w:after="283"/>
        <w:jc w:val="start"/>
        <w:rPr/>
      </w:pPr>
      <w:bookmarkStart w:id="14" w:name="B15"/>
      <w:bookmarkEnd w:id="14"/>
      <w:r>
        <w:rPr/>
        <w:t xml:space="preserve">Shuai, Y., Hu, Y., Qin, H., Campbell, R. A., and Zhong, Y. (2011). Distinct molecular underpinnings of Drosophila olfactory trace conditioning. </w:t>
      </w:r>
      <w:r>
        <w:rPr>
          <w:i/>
        </w:rPr>
        <w:t xml:space="preserve">Proc. Natl. Acad. Sci. U. S. A. </w:t>
      </w:r>
      <w:r>
        <w:rPr/>
        <w:t xml:space="preserve">108, 20201–20206. </w:t>
      </w:r>
    </w:p>
    <w:p>
      <w:pPr>
        <w:pStyle w:val="TextBody"/>
        <w:bidi w:val="0"/>
        <w:spacing w:before="0" w:after="283"/>
        <w:jc w:val="start"/>
        <w:rPr/>
      </w:pPr>
      <w:bookmarkStart w:id="15" w:name="B16"/>
      <w:bookmarkEnd w:id="15"/>
      <w:r>
        <w:rPr/>
        <w:t xml:space="preserve">Szumska, D., Benes, H., Kang, P., Weinstein, R. S., Jilka, R. L., Manolagas, S. C., and Shmookler Reis, R. J. (2007). A novel locus on the X chromosome regulates post-maturity bone density changes in mice. </w:t>
      </w:r>
      <w:r>
        <w:rPr>
          <w:i/>
        </w:rPr>
        <w:t xml:space="preserve">Bone </w:t>
      </w:r>
      <w:r>
        <w:rPr/>
        <w:t xml:space="preserve">40, 758–766. </w:t>
      </w:r>
    </w:p>
    <w:p>
      <w:pPr>
        <w:pStyle w:val="TextBody"/>
        <w:bidi w:val="0"/>
        <w:spacing w:before="0" w:after="283"/>
        <w:jc w:val="start"/>
        <w:rPr/>
      </w:pPr>
      <w:bookmarkStart w:id="16" w:name="B17"/>
      <w:bookmarkEnd w:id="16"/>
      <w:r>
        <w:rPr/>
        <w:t xml:space="preserve">Terwilliger, J. D., and Weiss, K. M. (2003). Confounding, ascertainment bias, and the blind quest for a genetic “ fountain of youth”. </w:t>
      </w:r>
      <w:r>
        <w:rPr>
          <w:i/>
        </w:rPr>
        <w:t xml:space="preserve">Ann. Med. </w:t>
      </w:r>
      <w:r>
        <w:rPr/>
        <w:t xml:space="preserve">35, 532–544. </w:t>
      </w:r>
    </w:p>
    <w:p>
      <w:pPr>
        <w:pStyle w:val="TextBody"/>
        <w:bidi w:val="0"/>
        <w:spacing w:before="0" w:after="283"/>
        <w:jc w:val="start"/>
        <w:rPr/>
      </w:pPr>
      <w:bookmarkStart w:id="17" w:name="B18"/>
      <w:bookmarkEnd w:id="17"/>
      <w:r>
        <w:rPr/>
        <w:t xml:space="preserve">van Swinderen, B. (2011). Conditioning to colors: a population assay for visual learning in </w:t>
      </w:r>
      <w:r>
        <w:rPr>
          <w:i/>
        </w:rPr>
        <w:t xml:space="preserve">Drosophila </w:t>
      </w:r>
      <w:r>
        <w:rPr/>
        <w:t xml:space="preserve">. </w:t>
      </w:r>
      <w:r>
        <w:rPr>
          <w:i/>
        </w:rPr>
        <w:t xml:space="preserve">Cold Spring Harb. Protoc. </w:t>
      </w:r>
      <w:r>
        <w:rPr/>
        <w:t xml:space="preserve">2011, 1334–1336.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https://assignbuster.com/coming-to-terms-with-complexity-limits-to-a-reductionist-view-of-aging/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Coming to terms with complexity: limits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Coming to terms with complexity: limits to a reductionist view of aging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Coming to terms with complexity: limits to a reductionist view of aging</dc:title>
  <dc:subject>Health &amp; Medicine;</dc:subject>
  <dc:creator>AssignBuster</dc:creator>
  <cp:keywords/>
  <dc:description>J, and Haley, C.S.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