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"https://assignbuster.com/deep-brain-stimulation-for-movement-disorders-a-history-of-success-and-challenges-to-conquer/"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Deep brain stimulation for movement disorders – a history of success and challeng...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Fasano, A., Herzog, J., Raethjen, J., Rose, F. E. M., Muthuraman, M., Volkmann, J., Falk, D., Elble, R., and Deuschl, G. (2010a). Gait ataxia in essential tremor is differentially modulated by thalamic stimulation. </w:t>
      </w:r>
      <w:r>
        <w:rPr>
          <w:i/>
        </w:rPr>
        <w:t xml:space="preserve">Brain </w:t>
      </w:r>
      <w:r>
        <w:rPr/>
        <w:t xml:space="preserve">133, 3635–3648.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Fasano, A., Romito, L. M., Daniele, A., Piano, C., Zinno, M., Bentivoglio, A. R., and Albanese, A. (2010b). Motor and cognitive outcome in patients with Parkinson’s disease 8 years after subthalamic implants. </w:t>
      </w:r>
      <w:r>
        <w:rPr>
          <w:i/>
        </w:rPr>
        <w:t xml:space="preserve">Brain </w:t>
      </w:r>
      <w:r>
        <w:rPr/>
        <w:t xml:space="preserve">133, 2664–2676.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Gradinaru, V., Mogri, M., Thompson, K. R., Henderson, J. M., and Deisseroth, K. (2009). Optical deconstruction of parkinsonian neural circuitry. </w:t>
      </w:r>
      <w:r>
        <w:rPr>
          <w:i/>
        </w:rPr>
        <w:t xml:space="preserve">Science </w:t>
      </w:r>
      <w:r>
        <w:rPr/>
        <w:t xml:space="preserve">324, 354–359. </w:t>
      </w:r>
    </w:p>
    <w:p>
      <w:pPr>
        <w:pStyle w:val="TextBody"/>
        <w:bidi w:val="0"/>
        <w:spacing w:before="0" w:after="283"/>
        <w:jc w:val="start"/>
        <w:rPr/>
      </w:pPr>
      <w:bookmarkStart w:id="4" w:name="B5"/>
      <w:bookmarkEnd w:id="4"/>
      <w:r>
        <w:rPr/>
        <w:t xml:space="preserve">Okun, M. S., Gallo, B. V., Mandybur, G., Jagid, J., Foote, K. D., Revilla, F. J., Alterman, R., Jankovic, J., Simpson, R., Junn, F., Verhagen, L., Arle, J. E., Ford, B., Goodman, R. R., Stewart, R. M., Horn, S., Baltuch, G. H., Kopell, B. H., Marshall, F., Peichel, D., Pahwa, R., Lyons, K. E., Tröster, A. I., Vitek, J. L., Tagliati, M., and for the SJM DBS Study Group. (2012). Subthalamic deep brain stimulation with a constant-current device in Parkinson’s disease: an open-label randomised controlled trial. </w:t>
      </w:r>
      <w:r>
        <w:rPr>
          <w:i/>
        </w:rPr>
        <w:t xml:space="preserve">Lancet Neurol. </w:t>
      </w:r>
      <w:r>
        <w:rPr/>
        <w:t xml:space="preserve">11, 140–149. </w:t>
      </w:r>
    </w:p>
    <w:p>
      <w:pPr>
        <w:pStyle w:val="TextBody"/>
        <w:bidi w:val="0"/>
        <w:spacing w:before="0" w:after="283"/>
        <w:jc w:val="start"/>
        <w:rPr/>
      </w:pPr>
      <w:bookmarkStart w:id="5" w:name="B6"/>
      <w:bookmarkEnd w:id="5"/>
      <w:r>
        <w:rPr/>
        <w:t xml:space="preserve">Pizzolato, G., and Mandat, T. (2012). Deep brain stimulation for movement disorders. </w:t>
      </w:r>
      <w:r>
        <w:rPr>
          <w:i/>
        </w:rPr>
        <w:t xml:space="preserve">Front. Integr. Neurosci. </w:t>
      </w:r>
      <w:r>
        <w:rPr/>
        <w:t xml:space="preserve">6: 2. doi: 10. 3389/fnint. 2012. 00002 </w:t>
      </w:r>
    </w:p>
    <w:p>
      <w:pPr>
        <w:pStyle w:val="TextBody"/>
        <w:bidi w:val="0"/>
        <w:spacing w:before="0" w:after="283"/>
        <w:jc w:val="start"/>
        <w:rPr/>
      </w:pPr>
      <w:bookmarkStart w:id="6" w:name="B7"/>
      <w:bookmarkEnd w:id="6"/>
      <w:r>
        <w:rPr/>
        <w:t xml:space="preserve">Rouse, A. G., Stanslaski, S. R., Cong, P., Jensen, R. M., Afshar, P., Ullestad, D., Gupta, R., Molnar, G. F., Moran, D. W., and Denison, T. J. (2011). A chronic generalized bi-directional brain-machine interface. </w:t>
      </w:r>
      <w:r>
        <w:rPr>
          <w:i/>
        </w:rPr>
        <w:t xml:space="preserve">J. Neural Eng. </w:t>
      </w:r>
      <w:r>
        <w:rPr/>
        <w:t xml:space="preserve">8, 036018. doi: 10. 1088/1741-2560/8/3/036018 </w:t>
      </w:r>
    </w:p>
    <w:p>
      <w:pPr>
        <w:pStyle w:val="TextBody"/>
        <w:bidi w:val="0"/>
        <w:spacing w:before="0" w:after="283"/>
        <w:jc w:val="start"/>
        <w:rPr/>
      </w:pPr>
      <w:bookmarkStart w:id="7" w:name="B8"/>
      <w:bookmarkEnd w:id="7"/>
      <w:r>
        <w:rPr/>
        <w:t xml:space="preserve">Sarem-Aslani, A., and Mullett, K. (2011). Industrial perspective on deep brain stimulation: history, current state, and future developments. </w:t>
      </w:r>
      <w:r>
        <w:rPr>
          <w:i/>
        </w:rPr>
        <w:t xml:space="preserve">Front. Integr. Neurosci. </w:t>
      </w:r>
      <w:r>
        <w:rPr/>
        <w:t xml:space="preserve">5: 46. doi: 10. 3389/fnint. 2011. 00046 </w:t>
      </w:r>
    </w:p>
    <w:p>
      <w:pPr>
        <w:pStyle w:val="TextBody"/>
        <w:bidi w:val="0"/>
        <w:spacing w:before="0" w:after="283"/>
        <w:jc w:val="start"/>
        <w:rPr/>
      </w:pPr>
      <w:bookmarkStart w:id="8" w:name="B9"/>
      <w:bookmarkEnd w:id="8"/>
      <w:r>
        <w:rPr/>
        <w:t xml:space="preserve">Weaver, F. M., Follett, K., Stern, M., Hur, K., Harris, C., Marks, W. J., Rothlind, J., Sagher, O., Reda, D., Moy, C. S., Pahwa, R., Burchiel, K., Hogarth, P., Lai, E. C., Duda, J. E., Holloway, K., Samii, A., Horn, S., Bronstein, J., Stoner, G., Heemskerk, J., Huang, G. D., and CSP 468 Study Group. (2009). Bilateral deep brain stimulation vs best medical therapy for patients with advanced Parkinson disease: a randomized controlled trial. </w:t>
      </w:r>
      <w:r>
        <w:rPr>
          <w:i/>
        </w:rPr>
        <w:t xml:space="preserve">JAMA </w:t>
      </w:r>
      <w:r>
        <w:rPr/>
        <w:t xml:space="preserve">301, 63–73. </w:t>
      </w:r>
    </w:p>
    <w:p>
      <w:pPr>
        <w:pStyle w:val="TextBody"/>
        <w:bidi w:val="0"/>
        <w:spacing w:before="0" w:after="283"/>
        <w:jc w:val="start"/>
        <w:rPr/>
      </w:pPr>
      <w:bookmarkStart w:id="9" w:name="B10"/>
      <w:bookmarkEnd w:id="9"/>
      <w:r>
        <w:rPr/>
        <w:t xml:space="preserve">Williams, A., Gill, S., Varma, T., Jenkinson, C., Quinn, N., Mitchell, R., Scott, R., Ives, N., Rick, C., Daniels, J., Patel, S., Wheatley, K., and PD SURG Collaborative Group. (2010). Deep brain stimulation plus best medical therapy versus best medical therapy alone for advanced Parkinson’s disease (PD SURG trial): a randomised, open-label trial. </w:t>
      </w:r>
      <w:r>
        <w:rPr>
          <w:i/>
        </w:rPr>
        <w:t xml:space="preserve">Lancet Neurol. </w:t>
      </w:r>
      <w:r>
        <w:rPr/>
        <w:t xml:space="preserve">9, 581–591. </w:t>
      </w:r>
    </w:p>
    <w:p>
      <w:pPr>
        <w:pStyle w:val="TextBody"/>
        <w:bidi w:val="0"/>
        <w:spacing w:before="0" w:after="283"/>
        <w:jc w:val="start"/>
        <w:rPr/>
      </w:pPr>
      <w:bookmarkStart w:id="10" w:name="B11"/>
      <w:bookmarkEnd w:id="10"/>
      <w:r>
        <w:rPr/>
        <w:t xml:space="preserve">Wojtecki, L., Vesper, J., and Schnitzler, A. (2011). Interleaving programming of subthalamic deep brain stimulation to reduce side effects with good motor outcome in a patient with Parkinson’s disease. </w:t>
      </w:r>
      <w:r>
        <w:rPr>
          <w:i/>
        </w:rPr>
        <w:t xml:space="preserve">Parkinsonism Relat. Disord. </w:t>
      </w:r>
      <w:r>
        <w:rPr/>
        <w:t xml:space="preserve">17, 293–294.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https://assignbuster.com/deep-brain-stimulation-for-movement-disorders-a-history-of-success-and-challenges-to-conquer/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Deep brain stimulation for movement diso...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Deep brain stimulation for movement disorders – a history of success and challeng...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brain stimulation for movement disorders – a history of success and challeng...</dc:title>
  <dc:subject>Health &amp; Medicine;</dc:subject>
  <dc:creator>AssignBuster</dc:creator>
  <cp:keywords/>
  <dc:description>M, Muthuraman, M, Volkmann, J, Falk, D, Elble, R, and Deuschl, 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