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"https://assignbuster.com/ultra-low-dosage-regimen-of-rituximab-in-autoimmune-blistering-skin-conditions/"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Ultra-low dosage regimen of rituximab in autoimmune blistering skin conditions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Rituximab is a chimeric human-mouse monoclonal anti-CD20 antibody initially developed to treat B cell lymphoproliferative disorders ( </w:t>
      </w:r>
      <w:hyperlink w:anchor="B1">
        <w:r>
          <w:rPr>
            <w:rStyle w:val="a8"/>
          </w:rPr>
          <w:t xml:space="preserve">1 </w:t>
        </w:r>
      </w:hyperlink>
      <w:r>
        <w:rPr/>
        <w:t xml:space="preserve">). It is now increasingly being used for the treatment of B cell-mediated skin autoimmune disorders, including autoimmune blistering skin diseases ( </w:t>
      </w:r>
      <w:hyperlink w:anchor="B2">
        <w:r>
          <w:rPr>
            <w:rStyle w:val="a8"/>
          </w:rPr>
          <w:t xml:space="preserve">2 </w:t>
        </w:r>
      </w:hyperlink>
      <w:r>
        <w:rPr/>
        <w:t xml:space="preserve">, </w:t>
      </w:r>
      <w:hyperlink w:anchor="B3">
        <w:r>
          <w:rPr>
            <w:rStyle w:val="a8"/>
          </w:rPr>
          <w:t xml:space="preserve">3 </w:t>
        </w:r>
      </w:hyperlink>
      <w:r>
        <w:rPr/>
        <w:t xml:space="preserve">). Rituximab targets all CD20 expressing B-cells, including precursor B cells and mature and memory B cells, whereas it does not interact with CD20-negative early pre-B cells and terminally differentiated plasma cells. Consequently, it completely depletes peripheral memory B cells, but it does not affect preexisting titers of serum antibody produced by long-lived antibody-secreting plasma cells ( </w:t>
      </w:r>
      <w:hyperlink w:anchor="B4">
        <w:r>
          <w:rPr>
            <w:rStyle w:val="a8"/>
          </w:rPr>
          <w:t xml:space="preserve">4 </w:t>
        </w:r>
      </w:hyperlink>
      <w:r>
        <w:rPr/>
        <w:t xml:space="preserve">). Rituximab mainly acts through antibody-dependent cell-mediated cytotoxicity, although alternative mechanisms may also be involved in complement-dependent cytotoxicity and in direct effect of the drug leading to apoptosis ( </w:t>
      </w:r>
      <w:hyperlink w:anchor="B5">
        <w:r>
          <w:rPr>
            <w:rStyle w:val="a8"/>
          </w:rPr>
          <w:t xml:space="preserve">5 </w:t>
        </w:r>
      </w:hyperlink>
      <w:r>
        <w:rPr/>
        <w:t xml:space="preserve">). Peripheral B cell depletion by rituximab treatment is usually observed for 6–9 months. After 1 year, many patients show complete mature B cell recovery, whereas the population of circulating memory B cells may be slow to recover after treatment ( </w:t>
      </w:r>
      <w:hyperlink w:anchor="B6">
        <w:r>
          <w:rPr>
            <w:rStyle w:val="a8"/>
          </w:rPr>
          <w:t xml:space="preserve">6 </w:t>
        </w:r>
      </w:hyperlink>
      <w:r>
        <w:rPr/>
        <w:t xml:space="preserve">). On the other hand, it is plausible that rituximab treatment does not completely eliminate memory B-cells which could be responsible for subsequent disease relapse.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Autoimmune blistering skin diseases are a group of heterogeneous skin conditions characterized by the presence of serum autoantibodies targeting desmosomal structural proteins (pemphigus group) or the hemidesmosomal anchoring complex (pemphigoides group) ( </w:t>
      </w:r>
      <w:hyperlink w:anchor="B7">
        <w:r>
          <w:rPr>
            <w:rStyle w:val="a8"/>
          </w:rPr>
          <w:t xml:space="preserve">7 </w:t>
        </w:r>
      </w:hyperlink>
      <w:r>
        <w:rPr/>
        <w:t xml:space="preserve">, </w:t>
      </w:r>
      <w:hyperlink w:anchor="B8">
        <w:r>
          <w:rPr>
            <w:rStyle w:val="a8"/>
          </w:rPr>
          <w:t xml:space="preserve">8 </w:t>
        </w:r>
      </w:hyperlink>
      <w:r>
        <w:rPr/>
        <w:t xml:space="preserve">). These disorders are generally treated with systemic corticosteroids which are often combined with other immunosuppressive and/or immunomodulatory approaches, notably azathioprine, mycophenolate mofetil, dapsone, tetracyclines, plasmapheresis, immunoadsorption, and high-dose intravenous immunoglobulins ( </w:t>
      </w:r>
      <w:hyperlink w:anchor="B9">
        <w:r>
          <w:rPr>
            <w:rStyle w:val="a8"/>
          </w:rPr>
          <w:t xml:space="preserve">9 </w:t>
        </w:r>
      </w:hyperlink>
      <w:r>
        <w:rPr/>
        <w:t xml:space="preserve">). These treatments may not be effective for either induction or maintenance of remission or, alternatively, need to be discontinued because of unmanageable adverse effects. B-cells play a central role in the pathogenesis of autoimmune blistering disorders and rituximab, which selectively targets B cells, has proven to be an effective and safe therapeutic agent in patients with autoimmune blistering skin disorders refractory to conventional treatments ( </w:t>
      </w:r>
      <w:hyperlink w:anchor="B9">
        <w:r>
          <w:rPr>
            <w:rStyle w:val="a8"/>
          </w:rPr>
          <w:t xml:space="preserve">9 </w:t>
        </w:r>
      </w:hyperlink>
      <w:r>
        <w:rPr/>
        <w:t xml:space="preserve">). To this regard, the recent published randomized controlled trial of rituximab and short-course prednisone versus standard-dose prednisone in new-onset pemphigus has clearly demonstrated that rituximab with short-course prednisone was a more effective treatment than the high-dose prednisone regimen used in this trial, which has been the mainstay of therapy for pemphigus over the years ( </w:t>
      </w:r>
      <w:hyperlink w:anchor="B10">
        <w:r>
          <w:rPr>
            <w:rStyle w:val="a8"/>
          </w:rPr>
          <w:t xml:space="preserve">10 </w:t>
        </w:r>
      </w:hyperlink>
      <w:r>
        <w:rPr/>
        <w:t xml:space="preserve">). Furthermore, rituximab associated with short-course prednisone showed lower rates of grade 3 or 4 adverse events compared with standard-dose prednisone ( </w:t>
      </w:r>
      <w:hyperlink w:anchor="B10">
        <w:r>
          <w:rPr>
            <w:rStyle w:val="a8"/>
          </w:rPr>
          <w:t xml:space="preserve">10 </w:t>
        </w:r>
      </w:hyperlink>
      <w:r>
        <w:rPr/>
        <w:t xml:space="preserve">). These results indicate that rituximab associated with short-course prednisone should be considered the first-line therapy for new-onset pemphigus.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optimal dosing of rituximab in autoimmune blistering skin conditions is currently poorly defined. Initially, rituximab was used for the treatment of pemphigus following the lymphoma dosing regimen (375 mg/m </w:t>
      </w:r>
      <w:r>
        <w:rPr>
          <w:position w:val="8"/>
          <w:sz w:val="19"/>
        </w:rPr>
        <w:t xml:space="preserve">2 </w:t>
      </w:r>
      <w:r>
        <w:rPr/>
        <w:t xml:space="preserve">weekly for 4 weeks) ( </w:t>
      </w:r>
      <w:hyperlink w:anchor="B11">
        <w:r>
          <w:rPr>
            <w:rStyle w:val="a8"/>
          </w:rPr>
          <w:t xml:space="preserve">11 </w:t>
        </w:r>
      </w:hyperlink>
      <w:r>
        <w:rPr/>
        <w:t xml:space="preserve">). However, given the fact that B-cell burden in autoimmune blistering skin diseases is much lower than that in lymphoproliferative disorders, several studies have investigated lower dosage. Horwath et al. treated patients with pemphigus with a single course of two infusions of rituximab (500 mg each) at an interval of 2 weeks with satisfactory responses and relapses generally occurring at the end of the second year ( </w:t>
      </w:r>
      <w:hyperlink w:anchor="B12">
        <w:r>
          <w:rPr>
            <w:rStyle w:val="a8"/>
          </w:rPr>
          <w:t xml:space="preserve">12 </w:t>
        </w:r>
      </w:hyperlink>
      <w:r>
        <w:rPr/>
        <w:t xml:space="preserve">). Several low-dose protocols for the treatment of pemphigus have been reviewed in a recent meta-analysis, such as the rheumatoid arthritis protocol (2 × 1, 000 mg doses at a 2-week interval) and the standard low-dose rituximab (2 × 500 mg doses at a 2-week interval) with the concomitant use of immunoadsorption or high-dose intravenous immunoglobulins ( </w:t>
      </w:r>
      <w:hyperlink w:anchor="B13">
        <w:r>
          <w:rPr>
            <w:rStyle w:val="a8"/>
          </w:rPr>
          <w:t xml:space="preserve">13 </w:t>
        </w:r>
      </w:hyperlink>
      <w:r>
        <w:rPr/>
        <w:t xml:space="preserve">). Moreover, a very recent investigation has shown impressive results in healthy volunteers treated with ultra-low dosage of rituximab. In this study, the authors demonstrated that &lt;1% of the conventional rituximab doses induced a nearly complete depletion of circulating B lymphocytes (1 mg/m </w:t>
      </w:r>
      <w:r>
        <w:rPr>
          <w:position w:val="8"/>
          <w:sz w:val="19"/>
        </w:rPr>
        <w:t xml:space="preserve">2 </w:t>
      </w:r>
      <w:r>
        <w:rPr/>
        <w:t xml:space="preserve">rituximab depleted 97% of all B-cells and doses of 0. 3 mg and 0. 1 mg/m </w:t>
      </w:r>
      <w:r>
        <w:rPr>
          <w:position w:val="8"/>
          <w:sz w:val="19"/>
        </w:rPr>
        <w:t xml:space="preserve">2 </w:t>
      </w:r>
      <w:r>
        <w:rPr/>
        <w:t xml:space="preserve">depleted, respectively 75 and 66% of circulating B-lymphocytes) ( </w:t>
      </w:r>
      <w:hyperlink w:anchor="B14">
        <w:r>
          <w:rPr>
            <w:rStyle w:val="a8"/>
          </w:rPr>
          <w:t xml:space="preserve">14 </w:t>
        </w:r>
      </w:hyperlink>
      <w:r>
        <w:rPr/>
        <w:t xml:space="preserve">). After 4 weeks from the infusion of rituximab circulating B-cells returned to approximately 60% of normal levels in the 1 mg/m </w:t>
      </w:r>
      <w:r>
        <w:rPr>
          <w:position w:val="8"/>
          <w:sz w:val="19"/>
        </w:rPr>
        <w:t xml:space="preserve">2 </w:t>
      </w:r>
      <w:r>
        <w:rPr/>
        <w:t xml:space="preserve">dose group, whereas recovery was completed by 9 months after infusion in the 1 mg/m </w:t>
      </w:r>
      <w:r>
        <w:rPr>
          <w:position w:val="8"/>
          <w:sz w:val="19"/>
        </w:rPr>
        <w:t xml:space="preserve">2 </w:t>
      </w:r>
      <w:r>
        <w:rPr/>
        <w:t xml:space="preserve">dose group and about 1 month after infusion in the 0. 3 mg and 0. 1 mg/m </w:t>
      </w:r>
      <w:r>
        <w:rPr>
          <w:position w:val="8"/>
          <w:sz w:val="19"/>
        </w:rPr>
        <w:t xml:space="preserve">2 </w:t>
      </w:r>
      <w:r>
        <w:rPr/>
        <w:t xml:space="preserve">dose groups. From the data of the study, the authors extrapolated that 100 mg rituximab may be sufficient to induce a depletion of B-cells for 3 months and, consequently, two doses of 100 mg every 3 months could deplete the B-cell population for 6 months. Thus, alternative ultra-low dosing schedules for rituximab could be proposed for antibody-dependent autoimmune diseases, including autoimmune blistering skin disorders, as they may provide a considerable improvement of the cost effectiveness. Moreover, well-designed clinical trials are warranted to determine the efficacy of ultra-low dosage rituximab and to assess whether there are other potential advantages over conventional low-dose protocols, in particular lower risk for infection and lower risk for infusion reaction.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Author Contributions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 conceived and wrote the manuscript.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 declares that the research was conducted in the absence of any commercial or financial relationships that could be construed as a potential conflict of interest.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reviewer MS and handling Editor declared their shared affiliation. </w:t>
      </w:r>
    </w:p>
    <w:p>
      <w:pPr>
        <w:pStyle w:val="Heading2"/>
        <w:bidi w:val="0"/>
        <w:jc w:val="start"/>
        <w:rPr/>
      </w:pPr>
      <w:bookmarkStart w:id="3" w:name="h4"/>
      <w:bookmarkEnd w:id="3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4" w:name="B1"/>
      <w:bookmarkEnd w:id="4"/>
      <w:r>
        <w:rPr/>
        <w:t xml:space="preserve">1. Salles G, Barrett M, Foà R, Maurer J, O’Brien S, Valente N, et al. Rituximab in B-cell hematologic malignancies: a review of 20 years of clinical experience. </w:t>
      </w:r>
      <w:r>
        <w:rPr>
          <w:i/>
        </w:rPr>
        <w:t xml:space="preserve">Adv Ther </w:t>
      </w:r>
      <w:r>
        <w:rPr/>
        <w:t xml:space="preserve">(2017) 34: 2232–73. doi: 10. 1007/s12325-017-0612-x </w:t>
      </w:r>
    </w:p>
    <w:p>
      <w:pPr>
        <w:pStyle w:val="TextBody"/>
        <w:bidi w:val="0"/>
        <w:spacing w:before="0" w:after="283"/>
        <w:jc w:val="start"/>
        <w:rPr/>
      </w:pPr>
      <w:bookmarkStart w:id="5" w:name="B2"/>
      <w:bookmarkEnd w:id="5"/>
      <w:r>
        <w:rPr/>
        <w:t xml:space="preserve">2. Franks SE, Getahun A, Hogarth PM, Cambier JC. Targeting B cells in treatment of autoimmunity. </w:t>
      </w:r>
      <w:r>
        <w:rPr>
          <w:i/>
        </w:rPr>
        <w:t xml:space="preserve">Curr Opin Immunol </w:t>
      </w:r>
      <w:r>
        <w:rPr/>
        <w:t xml:space="preserve">(2016) 43: 39–45. doi: 10. 1016/j. coi. 2016. 09. 003 </w:t>
      </w:r>
    </w:p>
    <w:p>
      <w:pPr>
        <w:pStyle w:val="TextBody"/>
        <w:bidi w:val="0"/>
        <w:spacing w:before="0" w:after="283"/>
        <w:jc w:val="start"/>
        <w:rPr/>
      </w:pPr>
      <w:bookmarkStart w:id="6" w:name="B3"/>
      <w:bookmarkEnd w:id="6"/>
      <w:r>
        <w:rPr/>
        <w:t xml:space="preserve">3. Huang A, Madan RK, Levitt J. Future therapies for pemphigus vulgaris: rituximab and beyond. </w:t>
      </w:r>
      <w:r>
        <w:rPr>
          <w:i/>
        </w:rPr>
        <w:t xml:space="preserve">J Am Acad Dermatol </w:t>
      </w:r>
      <w:r>
        <w:rPr/>
        <w:t xml:space="preserve">(2016) 74: 746–53. doi: 10. 1016/j. jaad. 2015. 11. 008 </w:t>
      </w:r>
    </w:p>
    <w:p>
      <w:pPr>
        <w:pStyle w:val="TextBody"/>
        <w:bidi w:val="0"/>
        <w:spacing w:before="0" w:after="283"/>
        <w:jc w:val="start"/>
        <w:rPr/>
      </w:pPr>
      <w:bookmarkStart w:id="7" w:name="B4"/>
      <w:bookmarkEnd w:id="7"/>
      <w:r>
        <w:rPr/>
        <w:t xml:space="preserve">4. Marshall MJE, Stopforth RJ, Cragg MS. Therapeutic antibodies: what have we learnt from targeting CD20 and where are we going? </w:t>
      </w:r>
      <w:r>
        <w:rPr>
          <w:i/>
        </w:rPr>
        <w:t xml:space="preserve">Front Immunol </w:t>
      </w:r>
      <w:r>
        <w:rPr/>
        <w:t xml:space="preserve">(2017) 8: 1245. doi: 10. 3389/fimmu. 2017. 01245 </w:t>
      </w:r>
    </w:p>
    <w:p>
      <w:pPr>
        <w:pStyle w:val="TextBody"/>
        <w:bidi w:val="0"/>
        <w:spacing w:before="0" w:after="283"/>
        <w:jc w:val="start"/>
        <w:rPr/>
      </w:pPr>
      <w:bookmarkStart w:id="8" w:name="B5"/>
      <w:bookmarkEnd w:id="8"/>
      <w:r>
        <w:rPr/>
        <w:t xml:space="preserve">5. Abulayha A, Bredan A, El Enshasy H, Daniels I. Rituximab: modes of action, remaining dispute and future perspective. </w:t>
      </w:r>
      <w:r>
        <w:rPr>
          <w:i/>
        </w:rPr>
        <w:t xml:space="preserve">Future Oncol </w:t>
      </w:r>
      <w:r>
        <w:rPr/>
        <w:t xml:space="preserve">(2014) 10: 2481–92. doi: 10. 2217/fon. 14. 146 </w:t>
      </w:r>
    </w:p>
    <w:p>
      <w:pPr>
        <w:pStyle w:val="TextBody"/>
        <w:bidi w:val="0"/>
        <w:spacing w:before="0" w:after="283"/>
        <w:jc w:val="start"/>
        <w:rPr/>
      </w:pPr>
      <w:bookmarkStart w:id="9" w:name="B6"/>
      <w:bookmarkEnd w:id="9"/>
      <w:r>
        <w:rPr/>
        <w:t xml:space="preserve">6. Leandro MJ. B-cell subpopulations in humans and their differential susceptibility to depletion with anti-CD20 monoclonal antibodies. </w:t>
      </w:r>
      <w:r>
        <w:rPr>
          <w:i/>
        </w:rPr>
        <w:t xml:space="preserve">Arthritis Res Ther </w:t>
      </w:r>
      <w:r>
        <w:rPr/>
        <w:t xml:space="preserve">(2013) 15: S3. doi: 10. 1186/ar3908 </w:t>
      </w:r>
    </w:p>
    <w:p>
      <w:pPr>
        <w:pStyle w:val="TextBody"/>
        <w:bidi w:val="0"/>
        <w:spacing w:before="0" w:after="283"/>
        <w:jc w:val="start"/>
        <w:rPr/>
      </w:pPr>
      <w:bookmarkStart w:id="10" w:name="B7"/>
      <w:bookmarkEnd w:id="10"/>
      <w:r>
        <w:rPr/>
        <w:t xml:space="preserve">7. Baum S, Sakka N, Artsi O, Trau H, Barzilai A. Diagnosis and classification of autoimmune blistering diseases. </w:t>
      </w:r>
      <w:r>
        <w:rPr>
          <w:i/>
        </w:rPr>
        <w:t xml:space="preserve">Autoimmun Rev </w:t>
      </w:r>
      <w:r>
        <w:rPr/>
        <w:t xml:space="preserve">(2014) 13: 482–9. doi: 10. 1016/j. autrev. 2014. 01. 047 </w:t>
      </w:r>
    </w:p>
    <w:p>
      <w:pPr>
        <w:pStyle w:val="TextBody"/>
        <w:bidi w:val="0"/>
        <w:spacing w:before="0" w:after="283"/>
        <w:jc w:val="start"/>
        <w:rPr/>
      </w:pPr>
      <w:bookmarkStart w:id="11" w:name="B8"/>
      <w:bookmarkEnd w:id="11"/>
      <w:r>
        <w:rPr/>
        <w:t xml:space="preserve">8. Kershenovich R, Hodak E, Mimouni D. Diagnosis and classification of pemphigus and bullous pemphigoid. </w:t>
      </w:r>
      <w:r>
        <w:rPr>
          <w:i/>
        </w:rPr>
        <w:t xml:space="preserve">Autoimmun Rev </w:t>
      </w:r>
      <w:r>
        <w:rPr/>
        <w:t xml:space="preserve">(2014) 13: 477–81. doi: 10. 1016/j. autrev. 2014. 01. 011 </w:t>
      </w:r>
    </w:p>
    <w:p>
      <w:pPr>
        <w:pStyle w:val="TextBody"/>
        <w:bidi w:val="0"/>
        <w:spacing w:before="0" w:after="283"/>
        <w:jc w:val="start"/>
        <w:rPr/>
      </w:pPr>
      <w:bookmarkStart w:id="12" w:name="B9"/>
      <w:bookmarkEnd w:id="12"/>
      <w:r>
        <w:rPr/>
        <w:t xml:space="preserve">9. Amber KT, Murrell DF, Schmidt E, Joly P, Borradori L. Autoimmune subepidermal bullous diseases of the skin and mucosa: clinical featur s, diagnosis, and management. </w:t>
      </w:r>
      <w:r>
        <w:rPr>
          <w:i/>
        </w:rPr>
        <w:t xml:space="preserve">Clin Rev Allergy Immunol </w:t>
      </w:r>
      <w:r>
        <w:rPr/>
        <w:t xml:space="preserve">(2018) 54: 26–51. doi: 10. 1007/s12016-017-8633-4 </w:t>
      </w:r>
    </w:p>
    <w:p>
      <w:pPr>
        <w:pStyle w:val="TextBody"/>
        <w:bidi w:val="0"/>
        <w:spacing w:before="0" w:after="283"/>
        <w:jc w:val="start"/>
        <w:rPr/>
      </w:pPr>
      <w:bookmarkStart w:id="13" w:name="B10"/>
      <w:bookmarkEnd w:id="13"/>
      <w:r>
        <w:rPr/>
        <w:t xml:space="preserve">10. Joly P, Maho-Vaillant M, Post-Squarcioni C, Hebert V, Houivet E, Calbo S, et al. First-line rituximab combined with short-term prednisone versus prednisone alone for the treatment of pemphigus (Ritux 3): a prospective, multicentre, parallel-group, open-label randomised trial. </w:t>
      </w:r>
      <w:r>
        <w:rPr>
          <w:i/>
        </w:rPr>
        <w:t xml:space="preserve">Lancet </w:t>
      </w:r>
      <w:r>
        <w:rPr/>
        <w:t xml:space="preserve">(2017) 389: 2031–40. doi: 10. 1016/S0140-6736(17)30070-3 </w:t>
      </w:r>
    </w:p>
    <w:p>
      <w:pPr>
        <w:pStyle w:val="TextBody"/>
        <w:bidi w:val="0"/>
        <w:spacing w:before="0" w:after="283"/>
        <w:jc w:val="start"/>
        <w:rPr/>
      </w:pPr>
      <w:bookmarkStart w:id="14" w:name="B11"/>
      <w:bookmarkEnd w:id="14"/>
      <w:r>
        <w:rPr/>
        <w:t xml:space="preserve">11. Ahmed AR, Shetty S. The emerging role of rituximab in autoimmune blistering diseases. </w:t>
      </w:r>
      <w:r>
        <w:rPr>
          <w:i/>
        </w:rPr>
        <w:t xml:space="preserve">Am J Clin Dermatol </w:t>
      </w:r>
      <w:r>
        <w:rPr/>
        <w:t xml:space="preserve">(2015) 16: 167–77. doi: 10. 1007/s40257-015-0121-0 </w:t>
      </w:r>
    </w:p>
    <w:p>
      <w:pPr>
        <w:pStyle w:val="TextBody"/>
        <w:bidi w:val="0"/>
        <w:spacing w:before="0" w:after="283"/>
        <w:jc w:val="start"/>
        <w:rPr/>
      </w:pPr>
      <w:bookmarkStart w:id="15" w:name="B12"/>
      <w:bookmarkEnd w:id="15"/>
      <w:r>
        <w:rPr/>
        <w:t xml:space="preserve">12. Horváth B, Huizinga J, Pas HH, Mulder AB, Jonkman MF. Low-dose rituximab is effective in pemphigus. </w:t>
      </w:r>
      <w:r>
        <w:rPr>
          <w:i/>
        </w:rPr>
        <w:t xml:space="preserve">Br J Dermatol </w:t>
      </w:r>
      <w:r>
        <w:rPr/>
        <w:t xml:space="preserve">(2012) 166: 405–12. doi: 10. 1111/j. 1365-2133. 2011. 10663. x </w:t>
      </w:r>
    </w:p>
    <w:p>
      <w:pPr>
        <w:pStyle w:val="TextBody"/>
        <w:bidi w:val="0"/>
        <w:spacing w:before="0" w:after="283"/>
        <w:jc w:val="start"/>
        <w:rPr/>
      </w:pPr>
      <w:bookmarkStart w:id="16" w:name="B13"/>
      <w:bookmarkEnd w:id="16"/>
      <w:r>
        <w:rPr/>
        <w:t xml:space="preserve">13. Wang HH, Liu CW, Li YC, Huang YC. Efficacy of rituximab for pemphigus: a systematic review and meta-analysis of different regimens. </w:t>
      </w:r>
      <w:r>
        <w:rPr>
          <w:i/>
        </w:rPr>
        <w:t xml:space="preserve">Acta Derm Venereol </w:t>
      </w:r>
      <w:r>
        <w:rPr/>
        <w:t xml:space="preserve">(2015) 95: 928–32. doi: 10. 2340/00015555-2116 </w:t>
      </w:r>
    </w:p>
    <w:p>
      <w:pPr>
        <w:pStyle w:val="TextBody"/>
        <w:bidi w:val="0"/>
        <w:spacing w:before="0" w:after="283"/>
        <w:jc w:val="start"/>
        <w:rPr/>
      </w:pPr>
      <w:bookmarkStart w:id="17" w:name="B14"/>
      <w:bookmarkEnd w:id="17"/>
      <w:r>
        <w:rPr/>
        <w:t xml:space="preserve">14. Schoergenhofer C, Schwameis M, Firbas C, Bartko J, Derhaschnig U, Mader RM, et al. Single, very low rituximab doses in healthy volunteers – a pilot and a randomized trial: implications for dosing and biosimilarity testing. </w:t>
      </w:r>
      <w:r>
        <w:rPr>
          <w:i/>
        </w:rPr>
        <w:t xml:space="preserve">Sci Rep </w:t>
      </w:r>
      <w:r>
        <w:rPr/>
        <w:t xml:space="preserve">(2018) 8: 124. doi: 10. 1038/s41598-017-17934-6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https://assignbuster.com/ultra-low-dosage-regimen-of-rituximab-in-autoimmune-blistering-skin-conditions/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Ultra-low dosage regimen of rituximab in...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Ultra-low dosage regimen of rituximab in autoimmune blistering skin conditions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Ultra-low dosage regimen of rituximab in autoimmune blistering skin conditions</dc:title>
  <dc:subject>Health &amp; Medicine;</dc:subject>
  <dc:creator>AssignBuster</dc:creator>
  <cp:keywords/>
  <dc:description>In this study, the authors demonstrated that 2 rituximab depleted 97% of all B-cells and doses of 0.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