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Snyder v. turk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Snyder v. Turk p40 Procedural History: Lower court entered a directed verdict for Dr. Turk b/c there was an absence of evidence that he intended to inflict personal injury Directed verdict: a ruling by a trial judge taking a case from the jury b/c the evidence will permit only one reasonable verdict (after trial) -testing sufficiency of evidence (enough facts to prove elements) Issue: Did Dr. Turk intend to commit a battery when he touched D but did not intend personal injury? Does a person intend to commit battery when he initiates contact that is offensive to a reasonable person? Facts: D was performing a gall-bladder operation and it was not going well. He was becoming frustrated w/the operation and the P who he felt was making mistakes and making it more difficult. Finally, P handed D an instrument that he felt was inappropriate so he grabbed her shoulder and pulled her face down to the surgical opening and said Arguments: D argues that the lower court was right in its dismissal, there is no evidence that he intended to inflict personal injury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 argues that you are liable for battery when your actions intend to cause a harmful or offensive contact and the harm/off contact results. -offensive contact is contact that is offensive to a reasonable sense of personal dignity Rule: A person intends to commit battery when he initiates contact w/another that is offensive to a reasonable person Holding: Lower court made error. Reasonable minds could conclude that Dr. Turk intended to commit an offensive act. Rationale: Dr. Turk intended to grab plaintiff and pull her face -This action is offensive to a reasonable person (sense of personal dignity)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https://assignbuster.com/snyder-v-turk-essay/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Snyder v. turk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nyder-v-turk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Snyder v. turk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Snyder v. turk essay</dc:title>
  <dc:subject>Others;</dc:subject>
  <dc:creator>AssignBuster</dc:creator>
  <cp:keywords/>
  <dc:description>Does a person intend to commit battery when he initiates contact that is offensive to a reasonable person?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