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Hydrogen sulfide h2s structure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Retention Index (Normal Alkane): </w:t>
      </w:r>
    </w:p>
    <w:tbl>
      <w:tblPr>
        <w:tblW w:w="4269" w:type="dxa"/>
        <w:jc w:val="start"/>
        <w:tblInd w:w="0" w:type="dxa"/>
        <w:tblLayout w:type="fixed"/>
        <w:tblCellMar>
          <w:top w:w="28" w:type="dxa"/>
          <w:start w:w="28" w:type="dxa"/>
          <w:bottom w:w="28" w:type="dxa"/>
          <w:end w:w="28" w:type="dxa"/>
        </w:tblCellMar>
      </w:tblPr>
      <w:tblGrid>
        <w:gridCol w:w="1843"/>
        <w:gridCol w:w="2426"/>
      </w:tblGrid>
      <w:tr>
        <w:trPr/>
        <w:tc>
          <w:tcPr>
            <w:tcW w:w="1843" w:type="dxa"/>
            <w:tcBorders/>
            <w:vAlign w:val="center"/>
          </w:tcPr>
          <w:p>
            <w:pPr>
              <w:pStyle w:val="TableContents"/>
              <w:bidi w:val="0"/>
              <w:spacing w:before="0" w:after="283"/>
              <w:jc w:val="start"/>
              <w:rPr/>
            </w:pPr>
            <w:r>
              <w:rPr/>
              <w:t xml:space="preserve">Molecular Formula </w:t>
            </w:r>
          </w:p>
        </w:tc>
        <w:tc>
          <w:tcPr>
            <w:tcW w:w="2426" w:type="dxa"/>
            <w:tcBorders/>
            <w:vAlign w:val="center"/>
          </w:tcPr>
          <w:p>
            <w:pPr>
              <w:pStyle w:val="TableContents"/>
              <w:bidi w:val="0"/>
              <w:spacing w:before="0" w:after="283"/>
              <w:jc w:val="start"/>
              <w:rPr/>
            </w:pPr>
            <w:r>
              <w:rPr/>
              <w:t xml:space="preserve">H </w:t>
            </w:r>
            <w:r>
              <w:rPr>
                <w:position w:val="-2"/>
                <w:sz w:val="19"/>
              </w:rPr>
              <w:t xml:space="preserve">2 </w:t>
            </w:r>
            <w:r>
              <w:rPr/>
              <w:t xml:space="preserve">S </w:t>
            </w:r>
          </w:p>
        </w:tc>
      </w:tr>
      <w:tr>
        <w:trPr/>
        <w:tc>
          <w:tcPr>
            <w:tcW w:w="1843" w:type="dxa"/>
            <w:tcBorders/>
            <w:vAlign w:val="center"/>
          </w:tcPr>
          <w:p>
            <w:pPr>
              <w:pStyle w:val="TableContents"/>
              <w:bidi w:val="0"/>
              <w:spacing w:before="0" w:after="283"/>
              <w:jc w:val="start"/>
              <w:rPr/>
            </w:pPr>
            <w:r>
              <w:rPr/>
              <w:t xml:space="preserve">Average mass </w:t>
            </w:r>
          </w:p>
        </w:tc>
        <w:tc>
          <w:tcPr>
            <w:tcW w:w="2426" w:type="dxa"/>
            <w:tcBorders/>
            <w:vAlign w:val="center"/>
          </w:tcPr>
          <w:p>
            <w:pPr>
              <w:pStyle w:val="TableContents"/>
              <w:bidi w:val="0"/>
              <w:spacing w:before="0" w:after="283"/>
              <w:jc w:val="start"/>
              <w:rPr/>
            </w:pPr>
            <w:r>
              <w:rPr/>
              <w:t xml:space="preserve">34. 081 Da </w:t>
            </w:r>
          </w:p>
        </w:tc>
      </w:tr>
      <w:tr>
        <w:trPr/>
        <w:tc>
          <w:tcPr>
            <w:tcW w:w="1843" w:type="dxa"/>
            <w:tcBorders/>
            <w:vAlign w:val="center"/>
          </w:tcPr>
          <w:p>
            <w:pPr>
              <w:pStyle w:val="TableContents"/>
              <w:bidi w:val="0"/>
              <w:spacing w:before="0" w:after="283"/>
              <w:jc w:val="start"/>
              <w:rPr/>
            </w:pPr>
            <w:r>
              <w:rPr/>
              <w:t xml:space="preserve">Density </w:t>
            </w:r>
          </w:p>
        </w:tc>
        <w:tc>
          <w:tcPr>
            <w:tcW w:w="2426" w:type="dxa"/>
            <w:tcBorders/>
            <w:vAlign w:val="center"/>
          </w:tcPr>
          <w:p>
            <w:pPr>
              <w:pStyle w:val="TableContents"/>
              <w:bidi w:val="0"/>
              <w:spacing w:before="0" w:after="283"/>
              <w:jc w:val="start"/>
              <w:rPr>
                <w:sz w:val="4"/>
                <w:szCs w:val="4"/>
              </w:rPr>
            </w:pPr>
            <w:r>
              <w:rPr>
                <w:sz w:val="4"/>
                <w:szCs w:val="4"/>
              </w:rPr>
            </w:r>
          </w:p>
        </w:tc>
      </w:tr>
      <w:tr>
        <w:trPr/>
        <w:tc>
          <w:tcPr>
            <w:tcW w:w="1843" w:type="dxa"/>
            <w:tcBorders/>
            <w:vAlign w:val="center"/>
          </w:tcPr>
          <w:p>
            <w:pPr>
              <w:pStyle w:val="TableContents"/>
              <w:bidi w:val="0"/>
              <w:spacing w:before="0" w:after="283"/>
              <w:jc w:val="start"/>
              <w:rPr/>
            </w:pPr>
            <w:r>
              <w:rPr/>
              <w:t xml:space="preserve">Boiling Point </w:t>
            </w:r>
          </w:p>
        </w:tc>
        <w:tc>
          <w:tcPr>
            <w:tcW w:w="2426" w:type="dxa"/>
            <w:tcBorders/>
            <w:vAlign w:val="center"/>
          </w:tcPr>
          <w:p>
            <w:pPr>
              <w:pStyle w:val="TableContents"/>
              <w:bidi w:val="0"/>
              <w:spacing w:before="0" w:after="283"/>
              <w:jc w:val="start"/>
              <w:rPr/>
            </w:pPr>
            <w:r>
              <w:rPr/>
              <w:t xml:space="preserve">-60. 7±9. 0 °C at 760 mmHg </w:t>
            </w:r>
          </w:p>
        </w:tc>
      </w:tr>
      <w:tr>
        <w:trPr/>
        <w:tc>
          <w:tcPr>
            <w:tcW w:w="1843" w:type="dxa"/>
            <w:tcBorders/>
            <w:vAlign w:val="center"/>
          </w:tcPr>
          <w:p>
            <w:pPr>
              <w:pStyle w:val="TableContents"/>
              <w:bidi w:val="0"/>
              <w:spacing w:before="0" w:after="283"/>
              <w:jc w:val="start"/>
              <w:rPr/>
            </w:pPr>
            <w:r>
              <w:rPr/>
              <w:t xml:space="preserve">Flash Point </w:t>
            </w:r>
          </w:p>
        </w:tc>
        <w:tc>
          <w:tcPr>
            <w:tcW w:w="2426" w:type="dxa"/>
            <w:tcBorders/>
            <w:vAlign w:val="center"/>
          </w:tcPr>
          <w:p>
            <w:pPr>
              <w:pStyle w:val="TableContents"/>
              <w:bidi w:val="0"/>
              <w:spacing w:before="0" w:after="283"/>
              <w:jc w:val="start"/>
              <w:rPr>
                <w:sz w:val="4"/>
                <w:szCs w:val="4"/>
              </w:rPr>
            </w:pPr>
            <w:r>
              <w:rPr>
                <w:sz w:val="4"/>
                <w:szCs w:val="4"/>
              </w:rPr>
            </w:r>
          </w:p>
        </w:tc>
      </w:tr>
      <w:tr>
        <w:trPr/>
        <w:tc>
          <w:tcPr>
            <w:tcW w:w="1843" w:type="dxa"/>
            <w:tcBorders/>
            <w:vAlign w:val="center"/>
          </w:tcPr>
          <w:p>
            <w:pPr>
              <w:pStyle w:val="TableContents"/>
              <w:bidi w:val="0"/>
              <w:spacing w:before="0" w:after="283"/>
              <w:jc w:val="start"/>
              <w:rPr/>
            </w:pPr>
            <w:r>
              <w:rPr/>
              <w:t xml:space="preserve">Molar Refractivity </w:t>
            </w:r>
          </w:p>
        </w:tc>
        <w:tc>
          <w:tcPr>
            <w:tcW w:w="2426" w:type="dxa"/>
            <w:tcBorders/>
            <w:vAlign w:val="center"/>
          </w:tcPr>
          <w:p>
            <w:pPr>
              <w:pStyle w:val="TableContents"/>
              <w:bidi w:val="0"/>
              <w:spacing w:before="0" w:after="283"/>
              <w:jc w:val="start"/>
              <w:rPr>
                <w:sz w:val="4"/>
                <w:szCs w:val="4"/>
              </w:rPr>
            </w:pPr>
            <w:r>
              <w:rPr>
                <w:sz w:val="4"/>
                <w:szCs w:val="4"/>
              </w:rPr>
            </w:r>
          </w:p>
        </w:tc>
      </w:tr>
      <w:tr>
        <w:trPr/>
        <w:tc>
          <w:tcPr>
            <w:tcW w:w="1843" w:type="dxa"/>
            <w:tcBorders/>
            <w:vAlign w:val="center"/>
          </w:tcPr>
          <w:p>
            <w:pPr>
              <w:pStyle w:val="TableContents"/>
              <w:bidi w:val="0"/>
              <w:spacing w:before="0" w:after="283"/>
              <w:jc w:val="start"/>
              <w:rPr/>
            </w:pPr>
            <w:r>
              <w:rPr/>
              <w:t xml:space="preserve">Polarizability </w:t>
            </w:r>
          </w:p>
        </w:tc>
        <w:tc>
          <w:tcPr>
            <w:tcW w:w="2426" w:type="dxa"/>
            <w:tcBorders/>
            <w:vAlign w:val="center"/>
          </w:tcPr>
          <w:p>
            <w:pPr>
              <w:pStyle w:val="TableContents"/>
              <w:bidi w:val="0"/>
              <w:spacing w:before="0" w:after="283"/>
              <w:jc w:val="start"/>
              <w:rPr>
                <w:sz w:val="4"/>
                <w:szCs w:val="4"/>
              </w:rPr>
            </w:pPr>
            <w:r>
              <w:rPr>
                <w:sz w:val="4"/>
                <w:szCs w:val="4"/>
              </w:rPr>
            </w:r>
          </w:p>
        </w:tc>
      </w:tr>
      <w:tr>
        <w:trPr/>
        <w:tc>
          <w:tcPr>
            <w:tcW w:w="1843" w:type="dxa"/>
            <w:tcBorders/>
            <w:vAlign w:val="center"/>
          </w:tcPr>
          <w:p>
            <w:pPr>
              <w:pStyle w:val="TableContents"/>
              <w:bidi w:val="0"/>
              <w:spacing w:before="0" w:after="283"/>
              <w:jc w:val="start"/>
              <w:rPr/>
            </w:pPr>
            <w:r>
              <w:rPr/>
              <w:t xml:space="preserve">Surface Tension </w:t>
            </w:r>
          </w:p>
        </w:tc>
        <w:tc>
          <w:tcPr>
            <w:tcW w:w="2426" w:type="dxa"/>
            <w:tcBorders/>
            <w:vAlign w:val="center"/>
          </w:tcPr>
          <w:p>
            <w:pPr>
              <w:pStyle w:val="TableContents"/>
              <w:bidi w:val="0"/>
              <w:spacing w:before="0" w:after="283"/>
              <w:jc w:val="start"/>
              <w:rPr>
                <w:sz w:val="4"/>
                <w:szCs w:val="4"/>
              </w:rPr>
            </w:pPr>
            <w:r>
              <w:rPr>
                <w:sz w:val="4"/>
                <w:szCs w:val="4"/>
              </w:rPr>
            </w:r>
          </w:p>
        </w:tc>
      </w:tr>
      <w:tr>
        <w:trPr/>
        <w:tc>
          <w:tcPr>
            <w:tcW w:w="1843" w:type="dxa"/>
            <w:tcBorders/>
            <w:vAlign w:val="center"/>
          </w:tcPr>
          <w:p>
            <w:pPr>
              <w:pStyle w:val="TableContents"/>
              <w:bidi w:val="0"/>
              <w:spacing w:before="0" w:after="283"/>
              <w:jc w:val="start"/>
              <w:rPr/>
            </w:pPr>
            <w:r>
              <w:rPr/>
              <w:t xml:space="preserve">Molar Volume </w:t>
            </w:r>
          </w:p>
        </w:tc>
        <w:tc>
          <w:tcPr>
            <w:tcW w:w="2426" w:type="dxa"/>
            <w:tcBorders/>
            <w:vAlign w:val="center"/>
          </w:tcPr>
          <w:p>
            <w:pPr>
              <w:pStyle w:val="TableContents"/>
              <w:bidi w:val="0"/>
              <w:spacing w:before="0" w:after="283"/>
              <w:jc w:val="start"/>
              <w:rPr>
                <w:sz w:val="4"/>
                <w:szCs w:val="4"/>
              </w:rPr>
            </w:pPr>
            <w:r>
              <w:rPr>
                <w:sz w:val="4"/>
                <w:szCs w:val="4"/>
              </w:rPr>
            </w:r>
          </w:p>
        </w:tc>
      </w:tr>
    </w:tbl>
    <w:p>
      <w:pPr>
        <w:pStyle w:val="TextBody"/>
        <w:numPr>
          <w:ilvl w:val="0"/>
          <w:numId w:val="2"/>
        </w:numPr>
        <w:tabs>
          <w:tab w:val="clear" w:pos="1134"/>
          <w:tab w:val="left" w:pos="709" w:leader="none"/>
        </w:tabs>
        <w:bidi w:val="0"/>
        <w:spacing w:before="0" w:after="0"/>
        <w:ind w:start="709" w:hanging="283"/>
        <w:jc w:val="start"/>
        <w:rPr/>
      </w:pPr>
      <w:r>
        <w:rPr/>
        <w:t xml:space="preserve">Experimental data </w:t>
      </w:r>
    </w:p>
    <w:p>
      <w:pPr>
        <w:pStyle w:val="TextBody"/>
        <w:numPr>
          <w:ilvl w:val="0"/>
          <w:numId w:val="2"/>
        </w:numPr>
        <w:tabs>
          <w:tab w:val="clear" w:pos="1134"/>
          <w:tab w:val="left" w:pos="709" w:leader="none"/>
        </w:tabs>
        <w:bidi w:val="0"/>
        <w:spacing w:before="0" w:after="0"/>
        <w:ind w:start="709" w:hanging="283"/>
        <w:jc w:val="start"/>
        <w:rPr/>
      </w:pPr>
      <w:r>
        <w:rPr/>
        <w:t xml:space="preserve">Predicted – ACD/Labs </w:t>
      </w:r>
    </w:p>
    <w:p>
      <w:pPr>
        <w:pStyle w:val="TextBody"/>
        <w:numPr>
          <w:ilvl w:val="0"/>
          <w:numId w:val="2"/>
        </w:numPr>
        <w:tabs>
          <w:tab w:val="clear" w:pos="1134"/>
          <w:tab w:val="left" w:pos="709" w:leader="none"/>
        </w:tabs>
        <w:bidi w:val="0"/>
        <w:spacing w:before="0" w:after="0"/>
        <w:ind w:start="709" w:hanging="283"/>
        <w:jc w:val="start"/>
        <w:rPr/>
      </w:pPr>
      <w:r>
        <w:rPr/>
        <w:t xml:space="preserve">Predicted – EPISuite </w:t>
      </w:r>
    </w:p>
    <w:p>
      <w:pPr>
        <w:pStyle w:val="TextBody"/>
        <w:numPr>
          <w:ilvl w:val="0"/>
          <w:numId w:val="2"/>
        </w:numPr>
        <w:tabs>
          <w:tab w:val="clear" w:pos="1134"/>
          <w:tab w:val="left" w:pos="709" w:leader="none"/>
        </w:tabs>
        <w:bidi w:val="0"/>
        <w:ind w:start="709" w:hanging="283"/>
        <w:jc w:val="start"/>
        <w:rPr/>
      </w:pPr>
      <w:r>
        <w:rPr/>
        <w:t xml:space="preserve">Predicted – ChemAxon </w:t>
      </w:r>
    </w:p>
    <w:p>
      <w:pPr>
        <w:pStyle w:val="TextBody"/>
        <w:numPr>
          <w:ilvl w:val="0"/>
          <w:numId w:val="3"/>
        </w:numPr>
        <w:tabs>
          <w:tab w:val="clear" w:pos="1134"/>
          <w:tab w:val="left" w:pos="709" w:leader="none"/>
        </w:tabs>
        <w:bidi w:val="0"/>
        <w:spacing w:before="0" w:after="0"/>
        <w:ind w:start="709" w:hanging="283"/>
        <w:jc w:val="start"/>
        <w:rPr/>
      </w:pPr>
      <w:r>
        <w:rPr/>
        <w:t xml:space="preserve">Experimental Physico-chemical Properties </w:t>
      </w:r>
    </w:p>
    <w:p>
      <w:pPr>
        <w:pStyle w:val="Heading2"/>
        <w:numPr>
          <w:ilvl w:val="1"/>
          <w:numId w:val="3"/>
        </w:numPr>
        <w:tabs>
          <w:tab w:val="clear" w:pos="1134"/>
          <w:tab w:val="left" w:pos="1418" w:leader="none"/>
        </w:tabs>
        <w:bidi w:val="0"/>
        <w:ind w:start="1418" w:hanging="283"/>
        <w:jc w:val="start"/>
        <w:rPr/>
      </w:pPr>
      <w:r>
        <w:rPr/>
        <w:t xml:space="preserve">Experimental Melting Point: </w:t>
      </w:r>
    </w:p>
    <w:tbl>
      <w:tblPr>
        <w:tblW w:w="2851" w:type="dxa"/>
        <w:jc w:val="start"/>
        <w:tblInd w:w="1418" w:type="dxa"/>
        <w:tblLayout w:type="fixed"/>
        <w:tblCellMar>
          <w:top w:w="28" w:type="dxa"/>
          <w:start w:w="28" w:type="dxa"/>
          <w:bottom w:w="28" w:type="dxa"/>
          <w:end w:w="28" w:type="dxa"/>
        </w:tblCellMar>
      </w:tblPr>
      <w:tblGrid>
        <w:gridCol w:w="2851"/>
      </w:tblGrid>
      <w:tr>
        <w:trPr/>
        <w:tc>
          <w:tcPr>
            <w:tcW w:w="2851" w:type="dxa"/>
            <w:tcBorders/>
            <w:vAlign w:val="center"/>
          </w:tcPr>
          <w:p>
            <w:pPr>
              <w:pStyle w:val="TableContents"/>
              <w:bidi w:val="0"/>
              <w:spacing w:before="0" w:after="283"/>
              <w:jc w:val="start"/>
              <w:rPr/>
            </w:pPr>
            <w:r>
              <w:rPr/>
              <w:t xml:space="preserve">116 °COxford University Chemical Safety Data (No longer updated)More details </w:t>
            </w:r>
          </w:p>
        </w:tc>
      </w:tr>
      <w:tr>
        <w:trPr/>
        <w:tc>
          <w:tcPr>
            <w:tcW w:w="2851" w:type="dxa"/>
            <w:tcBorders/>
            <w:vAlign w:val="center"/>
          </w:tcPr>
          <w:p>
            <w:pPr>
              <w:pStyle w:val="TableContents"/>
              <w:bidi w:val="0"/>
              <w:spacing w:before="0" w:after="283"/>
              <w:jc w:val="start"/>
              <w:rPr/>
            </w:pPr>
            <w:r>
              <w:rPr/>
              <w:t xml:space="preserve">-85 °COxford University Chemical Safety Data (No longer updated)More details </w:t>
            </w:r>
          </w:p>
        </w:tc>
      </w:tr>
      <w:tr>
        <w:trPr/>
        <w:tc>
          <w:tcPr>
            <w:tcW w:w="2851" w:type="dxa"/>
            <w:tcBorders/>
            <w:vAlign w:val="center"/>
          </w:tcPr>
          <w:p>
            <w:pPr>
              <w:pStyle w:val="TableContents"/>
              <w:bidi w:val="0"/>
              <w:spacing w:before="0" w:after="283"/>
              <w:jc w:val="start"/>
              <w:rPr/>
            </w:pPr>
            <w:r>
              <w:rPr/>
              <w:t xml:space="preserve">-85. 49 °CJean-Claude Bradley Open Melting Point Dataset22451 </w:t>
            </w:r>
          </w:p>
        </w:tc>
      </w:tr>
      <w:tr>
        <w:trPr/>
        <w:tc>
          <w:tcPr>
            <w:tcW w:w="2851" w:type="dxa"/>
            <w:tcBorders/>
            <w:vAlign w:val="center"/>
          </w:tcPr>
          <w:p>
            <w:pPr>
              <w:pStyle w:val="TableContents"/>
              <w:bidi w:val="0"/>
              <w:spacing w:before="0" w:after="283"/>
              <w:jc w:val="start"/>
              <w:rPr/>
            </w:pPr>
            <w:r>
              <w:rPr/>
              <w:t xml:space="preserve">112 °CJean-Claude Bradley Open Melting Point Dataset25712 </w:t>
            </w:r>
          </w:p>
        </w:tc>
      </w:tr>
    </w:tbl>
    <w:p>
      <w:pPr>
        <w:pStyle w:val="Heading2"/>
        <w:numPr>
          <w:ilvl w:val="1"/>
          <w:numId w:val="3"/>
        </w:numPr>
        <w:tabs>
          <w:tab w:val="clear" w:pos="1134"/>
          <w:tab w:val="left" w:pos="1418" w:leader="none"/>
        </w:tabs>
        <w:bidi w:val="0"/>
        <w:ind w:start="1418" w:hanging="283"/>
        <w:jc w:val="start"/>
        <w:rPr/>
      </w:pPr>
      <w:r>
        <w:rPr/>
        <w:t xml:space="preserve">Experimental Boiling Point: </w:t>
      </w:r>
    </w:p>
    <w:tbl>
      <w:tblPr>
        <w:tblW w:w="2851" w:type="dxa"/>
        <w:jc w:val="start"/>
        <w:tblInd w:w="1418" w:type="dxa"/>
        <w:tblLayout w:type="fixed"/>
        <w:tblCellMar>
          <w:top w:w="28" w:type="dxa"/>
          <w:start w:w="28" w:type="dxa"/>
          <w:bottom w:w="28" w:type="dxa"/>
          <w:end w:w="28" w:type="dxa"/>
        </w:tblCellMar>
      </w:tblPr>
      <w:tblGrid>
        <w:gridCol w:w="2851"/>
      </w:tblGrid>
      <w:tr>
        <w:trPr/>
        <w:tc>
          <w:tcPr>
            <w:tcW w:w="2851" w:type="dxa"/>
            <w:tcBorders/>
            <w:vAlign w:val="center"/>
          </w:tcPr>
          <w:p>
            <w:pPr>
              <w:pStyle w:val="TableContents"/>
              <w:bidi w:val="0"/>
              <w:spacing w:before="0" w:after="283"/>
              <w:jc w:val="start"/>
              <w:rPr/>
            </w:pPr>
            <w:r>
              <w:rPr/>
              <w:t xml:space="preserve">-77 F (-60. 5556 °C)NIOSHMX1225000 </w:t>
            </w:r>
          </w:p>
        </w:tc>
      </w:tr>
      <w:tr>
        <w:trPr/>
        <w:tc>
          <w:tcPr>
            <w:tcW w:w="2851" w:type="dxa"/>
            <w:tcBorders/>
            <w:vAlign w:val="center"/>
          </w:tcPr>
          <w:p>
            <w:pPr>
              <w:pStyle w:val="TableContents"/>
              <w:bidi w:val="0"/>
              <w:spacing w:before="0" w:after="283"/>
              <w:jc w:val="start"/>
              <w:rPr/>
            </w:pPr>
            <w:r>
              <w:rPr/>
              <w:t xml:space="preserve">445 °COxford University Chemical Safety Data (No longer updated)More details </w:t>
            </w:r>
          </w:p>
        </w:tc>
      </w:tr>
      <w:tr>
        <w:trPr/>
        <w:tc>
          <w:tcPr>
            <w:tcW w:w="2851" w:type="dxa"/>
            <w:tcBorders/>
            <w:vAlign w:val="center"/>
          </w:tcPr>
          <w:p>
            <w:pPr>
              <w:pStyle w:val="TableContents"/>
              <w:bidi w:val="0"/>
              <w:spacing w:before="0" w:after="283"/>
              <w:jc w:val="start"/>
              <w:rPr/>
            </w:pPr>
            <w:r>
              <w:rPr/>
              <w:t xml:space="preserve">-60 °COxford University Chemical Safety Data (No longer updated)More details </w:t>
            </w:r>
          </w:p>
        </w:tc>
      </w:tr>
    </w:tbl>
    <w:p>
      <w:pPr>
        <w:pStyle w:val="Heading2"/>
        <w:numPr>
          <w:ilvl w:val="1"/>
          <w:numId w:val="3"/>
        </w:numPr>
        <w:tabs>
          <w:tab w:val="clear" w:pos="1134"/>
          <w:tab w:val="left" w:pos="1418" w:leader="none"/>
        </w:tabs>
        <w:bidi w:val="0"/>
        <w:ind w:start="1418" w:hanging="283"/>
        <w:jc w:val="start"/>
        <w:rPr/>
      </w:pPr>
      <w:r>
        <w:rPr/>
        <w:t xml:space="preserve">Experimental Ionization Potent: </w:t>
      </w:r>
    </w:p>
    <w:tbl>
      <w:tblPr>
        <w:tblW w:w="3136" w:type="dxa"/>
        <w:jc w:val="start"/>
        <w:tblInd w:w="1418" w:type="dxa"/>
        <w:tblLayout w:type="fixed"/>
        <w:tblCellMar>
          <w:top w:w="28" w:type="dxa"/>
          <w:start w:w="28" w:type="dxa"/>
          <w:bottom w:w="28" w:type="dxa"/>
          <w:end w:w="28" w:type="dxa"/>
        </w:tblCellMar>
      </w:tblPr>
      <w:tblGrid>
        <w:gridCol w:w="3136"/>
      </w:tblGrid>
      <w:tr>
        <w:trPr/>
        <w:tc>
          <w:tcPr>
            <w:tcW w:w="3136" w:type="dxa"/>
            <w:tcBorders/>
            <w:vAlign w:val="center"/>
          </w:tcPr>
          <w:p>
            <w:pPr>
              <w:pStyle w:val="TableContents"/>
              <w:bidi w:val="0"/>
              <w:spacing w:before="0" w:after="283"/>
              <w:jc w:val="start"/>
              <w:rPr/>
            </w:pPr>
            <w:r>
              <w:rPr/>
              <w:t xml:space="preserve">10. 46 EvNIOSHMX1225000 </w:t>
            </w:r>
          </w:p>
        </w:tc>
      </w:tr>
    </w:tbl>
    <w:p>
      <w:pPr>
        <w:pStyle w:val="Heading2"/>
        <w:numPr>
          <w:ilvl w:val="1"/>
          <w:numId w:val="3"/>
        </w:numPr>
        <w:tabs>
          <w:tab w:val="clear" w:pos="1134"/>
          <w:tab w:val="left" w:pos="1418" w:leader="none"/>
        </w:tabs>
        <w:bidi w:val="0"/>
        <w:ind w:start="1418" w:hanging="283"/>
        <w:jc w:val="start"/>
        <w:rPr/>
      </w:pPr>
      <w:r>
        <w:rPr/>
        <w:t xml:space="preserve">Experimental Vapor Pressure: </w:t>
      </w:r>
    </w:p>
    <w:tbl>
      <w:tblPr>
        <w:tblW w:w="2851" w:type="dxa"/>
        <w:jc w:val="start"/>
        <w:tblInd w:w="1418" w:type="dxa"/>
        <w:tblLayout w:type="fixed"/>
        <w:tblCellMar>
          <w:top w:w="28" w:type="dxa"/>
          <w:start w:w="28" w:type="dxa"/>
          <w:bottom w:w="28" w:type="dxa"/>
          <w:end w:w="28" w:type="dxa"/>
        </w:tblCellMar>
      </w:tblPr>
      <w:tblGrid>
        <w:gridCol w:w="2851"/>
      </w:tblGrid>
      <w:tr>
        <w:trPr/>
        <w:tc>
          <w:tcPr>
            <w:tcW w:w="2851" w:type="dxa"/>
            <w:tcBorders/>
            <w:vAlign w:val="center"/>
          </w:tcPr>
          <w:p>
            <w:pPr>
              <w:pStyle w:val="TableContents"/>
              <w:bidi w:val="0"/>
              <w:spacing w:before="0" w:after="283"/>
              <w:jc w:val="start"/>
              <w:rPr/>
            </w:pPr>
            <w:r>
              <w:rPr/>
              <w:t xml:space="preserve">17. 6 atm (13376 mmHg)NIOSHMX1225000 </w:t>
            </w:r>
          </w:p>
        </w:tc>
      </w:tr>
    </w:tbl>
    <w:p>
      <w:pPr>
        <w:pStyle w:val="Heading2"/>
        <w:numPr>
          <w:ilvl w:val="1"/>
          <w:numId w:val="3"/>
        </w:numPr>
        <w:tabs>
          <w:tab w:val="clear" w:pos="1134"/>
          <w:tab w:val="left" w:pos="1418" w:leader="none"/>
        </w:tabs>
        <w:bidi w:val="0"/>
        <w:ind w:start="1418" w:hanging="283"/>
        <w:jc w:val="start"/>
        <w:rPr/>
      </w:pPr>
      <w:r>
        <w:rPr/>
        <w:t xml:space="preserve">Experimental Flash Point: </w:t>
      </w:r>
    </w:p>
    <w:tbl>
      <w:tblPr>
        <w:tblW w:w="2851" w:type="dxa"/>
        <w:jc w:val="start"/>
        <w:tblInd w:w="1418" w:type="dxa"/>
        <w:tblLayout w:type="fixed"/>
        <w:tblCellMar>
          <w:top w:w="28" w:type="dxa"/>
          <w:start w:w="28" w:type="dxa"/>
          <w:bottom w:w="28" w:type="dxa"/>
          <w:end w:w="28" w:type="dxa"/>
        </w:tblCellMar>
      </w:tblPr>
      <w:tblGrid>
        <w:gridCol w:w="2851"/>
      </w:tblGrid>
      <w:tr>
        <w:trPr/>
        <w:tc>
          <w:tcPr>
            <w:tcW w:w="2851" w:type="dxa"/>
            <w:tcBorders/>
            <w:vAlign w:val="center"/>
          </w:tcPr>
          <w:p>
            <w:pPr>
              <w:pStyle w:val="TableContents"/>
              <w:bidi w:val="0"/>
              <w:spacing w:before="0" w:after="283"/>
              <w:jc w:val="start"/>
              <w:rPr/>
            </w:pPr>
            <w:r>
              <w:rPr/>
              <w:t xml:space="preserve">188 °COxford University Chemical Safety Data (No longer updated)More details </w:t>
            </w:r>
          </w:p>
        </w:tc>
      </w:tr>
      <w:tr>
        <w:trPr/>
        <w:tc>
          <w:tcPr>
            <w:tcW w:w="2851" w:type="dxa"/>
            <w:tcBorders/>
            <w:vAlign w:val="center"/>
          </w:tcPr>
          <w:p>
            <w:pPr>
              <w:pStyle w:val="TableContents"/>
              <w:bidi w:val="0"/>
              <w:spacing w:before="0" w:after="283"/>
              <w:jc w:val="start"/>
              <w:rPr/>
            </w:pPr>
            <w:r>
              <w:rPr/>
              <w:t xml:space="preserve">-82 °COxford University Chemical Safety Data (No longer updated)More details </w:t>
            </w:r>
          </w:p>
        </w:tc>
      </w:tr>
    </w:tbl>
    <w:p>
      <w:pPr>
        <w:pStyle w:val="Heading2"/>
        <w:numPr>
          <w:ilvl w:val="1"/>
          <w:numId w:val="3"/>
        </w:numPr>
        <w:tabs>
          <w:tab w:val="clear" w:pos="1134"/>
          <w:tab w:val="left" w:pos="1418" w:leader="none"/>
        </w:tabs>
        <w:bidi w:val="0"/>
        <w:ind w:start="1418" w:hanging="283"/>
        <w:jc w:val="start"/>
        <w:rPr/>
      </w:pPr>
      <w:r>
        <w:rPr/>
        <w:t xml:space="preserve">Experimental Freezing Point: </w:t>
      </w:r>
    </w:p>
    <w:tbl>
      <w:tblPr>
        <w:tblW w:w="2851" w:type="dxa"/>
        <w:jc w:val="start"/>
        <w:tblInd w:w="1418" w:type="dxa"/>
        <w:tblLayout w:type="fixed"/>
        <w:tblCellMar>
          <w:top w:w="28" w:type="dxa"/>
          <w:start w:w="28" w:type="dxa"/>
          <w:bottom w:w="28" w:type="dxa"/>
          <w:end w:w="28" w:type="dxa"/>
        </w:tblCellMar>
      </w:tblPr>
      <w:tblGrid>
        <w:gridCol w:w="2851"/>
      </w:tblGrid>
      <w:tr>
        <w:trPr/>
        <w:tc>
          <w:tcPr>
            <w:tcW w:w="2851" w:type="dxa"/>
            <w:tcBorders/>
            <w:vAlign w:val="center"/>
          </w:tcPr>
          <w:p>
            <w:pPr>
              <w:pStyle w:val="TableContents"/>
              <w:bidi w:val="0"/>
              <w:spacing w:before="0" w:after="283"/>
              <w:jc w:val="start"/>
              <w:rPr/>
            </w:pPr>
            <w:r>
              <w:rPr/>
              <w:t xml:space="preserve">-122 F (-85. 5556 °C)NIOSHMX1225000 </w:t>
            </w:r>
          </w:p>
        </w:tc>
      </w:tr>
    </w:tbl>
    <w:p>
      <w:pPr>
        <w:pStyle w:val="Heading2"/>
        <w:numPr>
          <w:ilvl w:val="1"/>
          <w:numId w:val="3"/>
        </w:numPr>
        <w:tabs>
          <w:tab w:val="clear" w:pos="1134"/>
          <w:tab w:val="left" w:pos="1418" w:leader="none"/>
        </w:tabs>
        <w:bidi w:val="0"/>
        <w:ind w:start="1418" w:hanging="283"/>
        <w:jc w:val="start"/>
        <w:rPr/>
      </w:pPr>
      <w:r>
        <w:rPr/>
        <w:t xml:space="preserve">Experimental Solubility: </w:t>
      </w:r>
    </w:p>
    <w:tbl>
      <w:tblPr>
        <w:tblW w:w="2761" w:type="dxa"/>
        <w:jc w:val="start"/>
        <w:tblInd w:w="1418" w:type="dxa"/>
        <w:tblLayout w:type="fixed"/>
        <w:tblCellMar>
          <w:top w:w="28" w:type="dxa"/>
          <w:start w:w="28" w:type="dxa"/>
          <w:bottom w:w="28" w:type="dxa"/>
          <w:end w:w="28" w:type="dxa"/>
        </w:tblCellMar>
      </w:tblPr>
      <w:tblGrid>
        <w:gridCol w:w="2761"/>
      </w:tblGrid>
      <w:tr>
        <w:trPr/>
        <w:tc>
          <w:tcPr>
            <w:tcW w:w="2761" w:type="dxa"/>
            <w:tcBorders/>
            <w:vAlign w:val="center"/>
          </w:tcPr>
          <w:p>
            <w:pPr>
              <w:pStyle w:val="TableContents"/>
              <w:bidi w:val="0"/>
              <w:spacing w:before="0" w:after="283"/>
              <w:jc w:val="start"/>
              <w:rPr/>
            </w:pPr>
            <w:r>
              <w:rPr/>
              <w:t xml:space="preserve">0. 4%NIOSHMX1225000 </w:t>
            </w:r>
          </w:p>
        </w:tc>
      </w:tr>
    </w:tbl>
    <w:p>
      <w:pPr>
        <w:pStyle w:val="TextBody"/>
        <w:numPr>
          <w:ilvl w:val="0"/>
          <w:numId w:val="3"/>
        </w:numPr>
        <w:tabs>
          <w:tab w:val="clear" w:pos="1134"/>
          <w:tab w:val="left" w:pos="709" w:leader="none"/>
        </w:tabs>
        <w:bidi w:val="0"/>
        <w:spacing w:before="0" w:after="0"/>
        <w:ind w:start="709" w:hanging="283"/>
        <w:jc w:val="start"/>
        <w:rPr/>
      </w:pPr>
      <w:r>
        <w:rPr/>
        <w:t xml:space="preserve">Miscellaneous </w:t>
      </w:r>
    </w:p>
    <w:p>
      <w:pPr>
        <w:pStyle w:val="Heading2"/>
        <w:numPr>
          <w:ilvl w:val="1"/>
          <w:numId w:val="3"/>
        </w:numPr>
        <w:tabs>
          <w:tab w:val="clear" w:pos="1134"/>
          <w:tab w:val="left" w:pos="1418" w:leader="none"/>
        </w:tabs>
        <w:bidi w:val="0"/>
        <w:ind w:start="1418" w:hanging="283"/>
        <w:jc w:val="start"/>
        <w:rPr/>
      </w:pPr>
      <w:r>
        <w:rPr/>
        <w:t xml:space="preserve">Appearance: </w:t>
      </w:r>
    </w:p>
    <w:tbl>
      <w:tblPr>
        <w:tblW w:w="2851" w:type="dxa"/>
        <w:jc w:val="start"/>
        <w:tblInd w:w="1418" w:type="dxa"/>
        <w:tblLayout w:type="fixed"/>
        <w:tblCellMar>
          <w:top w:w="28" w:type="dxa"/>
          <w:start w:w="28" w:type="dxa"/>
          <w:bottom w:w="28" w:type="dxa"/>
          <w:end w:w="28" w:type="dxa"/>
        </w:tblCellMar>
      </w:tblPr>
      <w:tblGrid>
        <w:gridCol w:w="2851"/>
      </w:tblGrid>
      <w:tr>
        <w:trPr/>
        <w:tc>
          <w:tcPr>
            <w:tcW w:w="2851" w:type="dxa"/>
            <w:tcBorders/>
            <w:vAlign w:val="center"/>
          </w:tcPr>
          <w:p>
            <w:pPr>
              <w:pStyle w:val="TableContents"/>
              <w:bidi w:val="0"/>
              <w:spacing w:before="0" w:after="283"/>
              <w:jc w:val="start"/>
              <w:rPr/>
            </w:pPr>
            <w:r>
              <w:rPr/>
              <w:t xml:space="preserve">Colorless gas with a strong odor of rotten eggs. [Note: Sense of smell becomes rapidly fatigued &amp; can NOT be relied upon to warn of the continuous presence of H2S. Shipped as a liquefied compressed gas.]NIOSHMX1225000 </w:t>
            </w:r>
          </w:p>
        </w:tc>
      </w:tr>
      <w:tr>
        <w:trPr/>
        <w:tc>
          <w:tcPr>
            <w:tcW w:w="2851" w:type="dxa"/>
            <w:tcBorders/>
            <w:vAlign w:val="center"/>
          </w:tcPr>
          <w:p>
            <w:pPr>
              <w:pStyle w:val="TableContents"/>
              <w:bidi w:val="0"/>
              <w:spacing w:before="0" w:after="283"/>
              <w:jc w:val="start"/>
              <w:rPr/>
            </w:pPr>
            <w:r>
              <w:rPr/>
              <w:t xml:space="preserve">colourless gas with strong odour of rotten eggs (odour threshold ca 0. 2 ppt)Oxford University Chemical Safety Data (No longer updated)More details </w:t>
            </w:r>
          </w:p>
        </w:tc>
      </w:tr>
      <w:tr>
        <w:trPr/>
        <w:tc>
          <w:tcPr>
            <w:tcW w:w="2851" w:type="dxa"/>
            <w:tcBorders/>
            <w:vAlign w:val="center"/>
          </w:tcPr>
          <w:p>
            <w:pPr>
              <w:pStyle w:val="TableContents"/>
              <w:bidi w:val="0"/>
              <w:spacing w:before="0" w:after="283"/>
              <w:jc w:val="start"/>
              <w:rPr/>
            </w:pPr>
            <w:r>
              <w:rPr/>
              <w:t xml:space="preserve">yellow powder or fused solid, or amber to yellow crystalsOxford University Chemical Safety Data (No longer updated)More details </w:t>
            </w:r>
          </w:p>
        </w:tc>
      </w:tr>
    </w:tbl>
    <w:p>
      <w:pPr>
        <w:pStyle w:val="Heading2"/>
        <w:numPr>
          <w:ilvl w:val="1"/>
          <w:numId w:val="3"/>
        </w:numPr>
        <w:tabs>
          <w:tab w:val="clear" w:pos="1134"/>
          <w:tab w:val="left" w:pos="1418" w:leader="none"/>
        </w:tabs>
        <w:bidi w:val="0"/>
        <w:ind w:start="1418" w:hanging="283"/>
        <w:jc w:val="start"/>
        <w:rPr/>
      </w:pPr>
      <w:r>
        <w:rPr/>
        <w:t xml:space="preserve">Stability: </w:t>
      </w:r>
    </w:p>
    <w:tbl>
      <w:tblPr>
        <w:tblW w:w="2851" w:type="dxa"/>
        <w:jc w:val="start"/>
        <w:tblInd w:w="1418" w:type="dxa"/>
        <w:tblLayout w:type="fixed"/>
        <w:tblCellMar>
          <w:top w:w="28" w:type="dxa"/>
          <w:start w:w="28" w:type="dxa"/>
          <w:bottom w:w="28" w:type="dxa"/>
          <w:end w:w="28" w:type="dxa"/>
        </w:tblCellMar>
      </w:tblPr>
      <w:tblGrid>
        <w:gridCol w:w="2851"/>
      </w:tblGrid>
      <w:tr>
        <w:trPr/>
        <w:tc>
          <w:tcPr>
            <w:tcW w:w="2851" w:type="dxa"/>
            <w:tcBorders/>
            <w:vAlign w:val="center"/>
          </w:tcPr>
          <w:p>
            <w:pPr>
              <w:pStyle w:val="TableContents"/>
              <w:bidi w:val="0"/>
              <w:spacing w:before="0" w:after="283"/>
              <w:jc w:val="start"/>
              <w:rPr/>
            </w:pPr>
            <w:r>
              <w:rPr/>
              <w:t xml:space="preserve">Stable. Highly flammable. May form explosive mixture with air. Note wide explosive limits. Incompatible with strong oxidizing agents, many metals. May react violently with metal oxides, copper, fluorine, sodium, ethanal. Oxford University Chemical Safety Data (No longer updated)More details </w:t>
            </w:r>
          </w:p>
        </w:tc>
      </w:tr>
      <w:tr>
        <w:trPr/>
        <w:tc>
          <w:tcPr>
            <w:tcW w:w="2851" w:type="dxa"/>
            <w:tcBorders/>
            <w:vAlign w:val="center"/>
          </w:tcPr>
          <w:p>
            <w:pPr>
              <w:pStyle w:val="TableContents"/>
              <w:bidi w:val="0"/>
              <w:spacing w:before="0" w:after="283"/>
              <w:jc w:val="start"/>
              <w:rPr/>
            </w:pPr>
            <w:r>
              <w:rPr/>
              <w:t xml:space="preserve">Stable. Dust may form a flammable or explosive mixture with air. Incompatible with strong oxidizing agents, most common metals, hydrogen, chlorine, fluorine. Oxford University Chemical Safety Data (No longer updated)More details </w:t>
            </w:r>
          </w:p>
        </w:tc>
      </w:tr>
    </w:tbl>
    <w:p>
      <w:pPr>
        <w:pStyle w:val="Heading2"/>
        <w:numPr>
          <w:ilvl w:val="1"/>
          <w:numId w:val="3"/>
        </w:numPr>
        <w:tabs>
          <w:tab w:val="clear" w:pos="1134"/>
          <w:tab w:val="left" w:pos="1418" w:leader="none"/>
        </w:tabs>
        <w:bidi w:val="0"/>
        <w:ind w:start="1418" w:hanging="283"/>
        <w:jc w:val="start"/>
        <w:rPr/>
      </w:pPr>
      <w:r>
        <w:rPr/>
        <w:t xml:space="preserve">Safety: </w:t>
      </w:r>
    </w:p>
    <w:tbl>
      <w:tblPr>
        <w:tblW w:w="2851" w:type="dxa"/>
        <w:jc w:val="start"/>
        <w:tblInd w:w="1418" w:type="dxa"/>
        <w:tblLayout w:type="fixed"/>
        <w:tblCellMar>
          <w:top w:w="28" w:type="dxa"/>
          <w:start w:w="28" w:type="dxa"/>
          <w:bottom w:w="28" w:type="dxa"/>
          <w:end w:w="28" w:type="dxa"/>
        </w:tblCellMar>
      </w:tblPr>
      <w:tblGrid>
        <w:gridCol w:w="2851"/>
      </w:tblGrid>
      <w:tr>
        <w:trPr/>
        <w:tc>
          <w:tcPr>
            <w:tcW w:w="2851" w:type="dxa"/>
            <w:tcBorders/>
            <w:vAlign w:val="center"/>
          </w:tcPr>
          <w:p>
            <w:pPr>
              <w:pStyle w:val="TableContents"/>
              <w:bidi w:val="0"/>
              <w:spacing w:before="0" w:after="283"/>
              <w:jc w:val="start"/>
              <w:rPr/>
            </w:pPr>
            <w:r>
              <w:rPr/>
              <w:t xml:space="preserve">FAbblis ChemicalsAB1002328 </w:t>
            </w:r>
          </w:p>
        </w:tc>
      </w:tr>
      <w:tr>
        <w:trPr/>
        <w:tc>
          <w:tcPr>
            <w:tcW w:w="2851" w:type="dxa"/>
            <w:tcBorders/>
            <w:vAlign w:val="center"/>
          </w:tcPr>
          <w:p>
            <w:pPr>
              <w:pStyle w:val="TableContents"/>
              <w:bidi w:val="0"/>
              <w:spacing w:before="0" w:after="283"/>
              <w:jc w:val="start"/>
              <w:rPr/>
            </w:pPr>
            <w:r>
              <w:rPr/>
              <w:t xml:space="preserve">GHS07BiosynthQ-201771 </w:t>
            </w:r>
          </w:p>
        </w:tc>
      </w:tr>
      <w:tr>
        <w:trPr/>
        <w:tc>
          <w:tcPr>
            <w:tcW w:w="2851" w:type="dxa"/>
            <w:tcBorders/>
            <w:vAlign w:val="center"/>
          </w:tcPr>
          <w:p>
            <w:pPr>
              <w:pStyle w:val="TableContents"/>
              <w:bidi w:val="0"/>
              <w:spacing w:before="0" w:after="283"/>
              <w:jc w:val="start"/>
              <w:rPr/>
            </w:pPr>
            <w:r>
              <w:rPr/>
              <w:t xml:space="preserve">H315; H319; H335BiosynthQ-201771 </w:t>
            </w:r>
          </w:p>
        </w:tc>
      </w:tr>
      <w:tr>
        <w:trPr/>
        <w:tc>
          <w:tcPr>
            <w:tcW w:w="2851" w:type="dxa"/>
            <w:tcBorders/>
            <w:vAlign w:val="center"/>
          </w:tcPr>
          <w:p>
            <w:pPr>
              <w:pStyle w:val="TableContents"/>
              <w:bidi w:val="0"/>
              <w:spacing w:before="0" w:after="283"/>
              <w:jc w:val="start"/>
              <w:rPr/>
            </w:pPr>
            <w:r>
              <w:rPr/>
              <w:t xml:space="preserve">P261; P280; P302+P352; P304+P340; P305+P351+P338; P312BiosynthQ-201771 </w:t>
            </w:r>
          </w:p>
        </w:tc>
      </w:tr>
      <w:tr>
        <w:trPr/>
        <w:tc>
          <w:tcPr>
            <w:tcW w:w="2851" w:type="dxa"/>
            <w:tcBorders/>
            <w:vAlign w:val="center"/>
          </w:tcPr>
          <w:p>
            <w:pPr>
              <w:pStyle w:val="TableContents"/>
              <w:bidi w:val="0"/>
              <w:spacing w:before="0" w:after="283"/>
              <w:jc w:val="start"/>
              <w:rPr/>
            </w:pPr>
            <w:r>
              <w:rPr/>
              <w:t xml:space="preserve">Safety glasses, rubber gloves, good ventilation. Remove all sourcesof ignition from the working area. Oxford University Chemical Safety Data (No longer updated)More details </w:t>
            </w:r>
          </w:p>
        </w:tc>
      </w:tr>
      <w:tr>
        <w:trPr/>
        <w:tc>
          <w:tcPr>
            <w:tcW w:w="2851" w:type="dxa"/>
            <w:tcBorders/>
            <w:vAlign w:val="center"/>
          </w:tcPr>
          <w:p>
            <w:pPr>
              <w:pStyle w:val="TableContents"/>
              <w:bidi w:val="0"/>
              <w:spacing w:before="0" w:after="283"/>
              <w:jc w:val="start"/>
              <w:rPr/>
            </w:pPr>
            <w:r>
              <w:rPr/>
              <w:t xml:space="preserve">Safety glasses. Oxford University Chemical Safety Data (No longer updated)More details </w:t>
            </w:r>
          </w:p>
        </w:tc>
      </w:tr>
      <w:tr>
        <w:trPr/>
        <w:tc>
          <w:tcPr>
            <w:tcW w:w="2851" w:type="dxa"/>
            <w:tcBorders/>
            <w:vAlign w:val="center"/>
          </w:tcPr>
          <w:p>
            <w:pPr>
              <w:pStyle w:val="TableContents"/>
              <w:bidi w:val="0"/>
              <w:spacing w:before="0" w:after="283"/>
              <w:jc w:val="start"/>
              <w:rPr/>
            </w:pPr>
            <w:r>
              <w:rPr/>
              <w:t xml:space="preserve">WarningBiosynthQ-201771 </w:t>
            </w:r>
          </w:p>
        </w:tc>
      </w:tr>
    </w:tbl>
    <w:p>
      <w:pPr>
        <w:pStyle w:val="Heading2"/>
        <w:numPr>
          <w:ilvl w:val="1"/>
          <w:numId w:val="3"/>
        </w:numPr>
        <w:tabs>
          <w:tab w:val="clear" w:pos="1134"/>
          <w:tab w:val="left" w:pos="1418" w:leader="none"/>
        </w:tabs>
        <w:bidi w:val="0"/>
        <w:ind w:start="1418" w:hanging="283"/>
        <w:jc w:val="start"/>
        <w:rPr/>
      </w:pPr>
      <w:r>
        <w:rPr/>
        <w:t xml:space="preserve">First-Aid: </w:t>
      </w:r>
    </w:p>
    <w:tbl>
      <w:tblPr>
        <w:tblW w:w="2851" w:type="dxa"/>
        <w:jc w:val="start"/>
        <w:tblInd w:w="1418" w:type="dxa"/>
        <w:tblLayout w:type="fixed"/>
        <w:tblCellMar>
          <w:top w:w="28" w:type="dxa"/>
          <w:start w:w="28" w:type="dxa"/>
          <w:bottom w:w="28" w:type="dxa"/>
          <w:end w:w="28" w:type="dxa"/>
        </w:tblCellMar>
      </w:tblPr>
      <w:tblGrid>
        <w:gridCol w:w="2851"/>
      </w:tblGrid>
      <w:tr>
        <w:trPr/>
        <w:tc>
          <w:tcPr>
            <w:tcW w:w="2851" w:type="dxa"/>
            <w:tcBorders/>
            <w:vAlign w:val="center"/>
          </w:tcPr>
          <w:p>
            <w:pPr>
              <w:pStyle w:val="TableContents"/>
              <w:bidi w:val="0"/>
              <w:spacing w:before="0" w:after="283"/>
              <w:jc w:val="start"/>
              <w:rPr/>
            </w:pPr>
            <w:r>
              <w:rPr/>
              <w:t xml:space="preserve">Eye: Frostbite Skin: Frostbite Breathing: Respiratory supportNIOSHMX1225000 </w:t>
            </w:r>
          </w:p>
        </w:tc>
      </w:tr>
    </w:tbl>
    <w:p>
      <w:pPr>
        <w:pStyle w:val="Heading2"/>
        <w:numPr>
          <w:ilvl w:val="1"/>
          <w:numId w:val="3"/>
        </w:numPr>
        <w:tabs>
          <w:tab w:val="clear" w:pos="1134"/>
          <w:tab w:val="left" w:pos="1418" w:leader="none"/>
        </w:tabs>
        <w:bidi w:val="0"/>
        <w:ind w:start="1418" w:hanging="283"/>
        <w:jc w:val="start"/>
        <w:rPr/>
      </w:pPr>
      <w:r>
        <w:rPr/>
        <w:t xml:space="preserve">Exposure Routes: </w:t>
      </w:r>
    </w:p>
    <w:tbl>
      <w:tblPr>
        <w:tblW w:w="2851" w:type="dxa"/>
        <w:jc w:val="start"/>
        <w:tblInd w:w="1418" w:type="dxa"/>
        <w:tblLayout w:type="fixed"/>
        <w:tblCellMar>
          <w:top w:w="28" w:type="dxa"/>
          <w:start w:w="28" w:type="dxa"/>
          <w:bottom w:w="28" w:type="dxa"/>
          <w:end w:w="28" w:type="dxa"/>
        </w:tblCellMar>
      </w:tblPr>
      <w:tblGrid>
        <w:gridCol w:w="2851"/>
      </w:tblGrid>
      <w:tr>
        <w:trPr/>
        <w:tc>
          <w:tcPr>
            <w:tcW w:w="2851" w:type="dxa"/>
            <w:tcBorders/>
            <w:vAlign w:val="center"/>
          </w:tcPr>
          <w:p>
            <w:pPr>
              <w:pStyle w:val="TableContents"/>
              <w:bidi w:val="0"/>
              <w:spacing w:before="0" w:after="283"/>
              <w:jc w:val="start"/>
              <w:rPr/>
            </w:pPr>
            <w:r>
              <w:rPr/>
              <w:t xml:space="preserve">inhalation, skin and/or eye contactNIOSHMX1225000 </w:t>
            </w:r>
          </w:p>
        </w:tc>
      </w:tr>
    </w:tbl>
    <w:p>
      <w:pPr>
        <w:pStyle w:val="Heading2"/>
        <w:numPr>
          <w:ilvl w:val="1"/>
          <w:numId w:val="3"/>
        </w:numPr>
        <w:tabs>
          <w:tab w:val="clear" w:pos="1134"/>
          <w:tab w:val="left" w:pos="1418" w:leader="none"/>
        </w:tabs>
        <w:bidi w:val="0"/>
        <w:ind w:start="1418" w:hanging="283"/>
        <w:jc w:val="start"/>
        <w:rPr/>
      </w:pPr>
      <w:r>
        <w:rPr/>
        <w:t xml:space="preserve">Symptoms: </w:t>
      </w:r>
    </w:p>
    <w:tbl>
      <w:tblPr>
        <w:tblW w:w="2851" w:type="dxa"/>
        <w:jc w:val="start"/>
        <w:tblInd w:w="1418" w:type="dxa"/>
        <w:tblLayout w:type="fixed"/>
        <w:tblCellMar>
          <w:top w:w="28" w:type="dxa"/>
          <w:start w:w="28" w:type="dxa"/>
          <w:bottom w:w="28" w:type="dxa"/>
          <w:end w:w="28" w:type="dxa"/>
        </w:tblCellMar>
      </w:tblPr>
      <w:tblGrid>
        <w:gridCol w:w="2851"/>
      </w:tblGrid>
      <w:tr>
        <w:trPr/>
        <w:tc>
          <w:tcPr>
            <w:tcW w:w="2851" w:type="dxa"/>
            <w:tcBorders/>
            <w:vAlign w:val="center"/>
          </w:tcPr>
          <w:p>
            <w:pPr>
              <w:pStyle w:val="TableContents"/>
              <w:bidi w:val="0"/>
              <w:spacing w:before="0" w:after="283"/>
              <w:jc w:val="start"/>
              <w:rPr/>
            </w:pPr>
            <w:r>
              <w:rPr/>
              <w:t xml:space="preserve">Irritation eyes, respiratory system; apnea, coma, convulsions; conjunctivitis, eye pain, lacrimation (discharge of tears), photophobia (abnormal visual intolerance to light), corneal vesiculation; dizziness, headache, lassitude (weakness, exhaustion), irritability, insomnia; gastrointestinal disturbance; liquid: frostbiteNIOSHMX1225000 </w:t>
            </w:r>
          </w:p>
        </w:tc>
      </w:tr>
    </w:tbl>
    <w:p>
      <w:pPr>
        <w:pStyle w:val="Heading2"/>
        <w:numPr>
          <w:ilvl w:val="1"/>
          <w:numId w:val="3"/>
        </w:numPr>
        <w:tabs>
          <w:tab w:val="clear" w:pos="1134"/>
          <w:tab w:val="left" w:pos="1418" w:leader="none"/>
        </w:tabs>
        <w:bidi w:val="0"/>
        <w:ind w:start="1418" w:hanging="283"/>
        <w:jc w:val="start"/>
        <w:rPr/>
      </w:pPr>
      <w:r>
        <w:rPr/>
        <w:t xml:space="preserve">Target Organs: </w:t>
      </w:r>
    </w:p>
    <w:tbl>
      <w:tblPr>
        <w:tblW w:w="2851" w:type="dxa"/>
        <w:jc w:val="start"/>
        <w:tblInd w:w="1418" w:type="dxa"/>
        <w:tblLayout w:type="fixed"/>
        <w:tblCellMar>
          <w:top w:w="28" w:type="dxa"/>
          <w:start w:w="28" w:type="dxa"/>
          <w:bottom w:w="28" w:type="dxa"/>
          <w:end w:w="28" w:type="dxa"/>
        </w:tblCellMar>
      </w:tblPr>
      <w:tblGrid>
        <w:gridCol w:w="2851"/>
      </w:tblGrid>
      <w:tr>
        <w:trPr/>
        <w:tc>
          <w:tcPr>
            <w:tcW w:w="2851" w:type="dxa"/>
            <w:tcBorders/>
            <w:vAlign w:val="center"/>
          </w:tcPr>
          <w:p>
            <w:pPr>
              <w:pStyle w:val="TableContents"/>
              <w:bidi w:val="0"/>
              <w:spacing w:before="0" w:after="283"/>
              <w:jc w:val="start"/>
              <w:rPr/>
            </w:pPr>
            <w:r>
              <w:rPr/>
              <w:t xml:space="preserve">Eyes, respiratory system, central nervous systemNIOSHMX1225000 </w:t>
            </w:r>
          </w:p>
        </w:tc>
      </w:tr>
    </w:tbl>
    <w:p>
      <w:pPr>
        <w:pStyle w:val="Heading2"/>
        <w:numPr>
          <w:ilvl w:val="1"/>
          <w:numId w:val="3"/>
        </w:numPr>
        <w:tabs>
          <w:tab w:val="clear" w:pos="1134"/>
          <w:tab w:val="left" w:pos="1418" w:leader="none"/>
        </w:tabs>
        <w:bidi w:val="0"/>
        <w:ind w:start="1418" w:hanging="283"/>
        <w:jc w:val="start"/>
        <w:rPr/>
      </w:pPr>
      <w:r>
        <w:rPr/>
        <w:t xml:space="preserve">Incompatibility: </w:t>
      </w:r>
    </w:p>
    <w:tbl>
      <w:tblPr>
        <w:tblW w:w="2851" w:type="dxa"/>
        <w:jc w:val="start"/>
        <w:tblInd w:w="1418" w:type="dxa"/>
        <w:tblLayout w:type="fixed"/>
        <w:tblCellMar>
          <w:top w:w="28" w:type="dxa"/>
          <w:start w:w="28" w:type="dxa"/>
          <w:bottom w:w="28" w:type="dxa"/>
          <w:end w:w="28" w:type="dxa"/>
        </w:tblCellMar>
      </w:tblPr>
      <w:tblGrid>
        <w:gridCol w:w="2851"/>
      </w:tblGrid>
      <w:tr>
        <w:trPr/>
        <w:tc>
          <w:tcPr>
            <w:tcW w:w="2851" w:type="dxa"/>
            <w:tcBorders/>
            <w:vAlign w:val="center"/>
          </w:tcPr>
          <w:p>
            <w:pPr>
              <w:pStyle w:val="TableContents"/>
              <w:bidi w:val="0"/>
              <w:spacing w:before="0" w:after="283"/>
              <w:jc w:val="start"/>
              <w:rPr/>
            </w:pPr>
            <w:r>
              <w:rPr/>
              <w:t xml:space="preserve">Strong oxidizers, strong nitric acid, metalsNIOSHMX1225000 </w:t>
            </w:r>
          </w:p>
        </w:tc>
      </w:tr>
    </w:tbl>
    <w:p>
      <w:pPr>
        <w:pStyle w:val="Heading2"/>
        <w:numPr>
          <w:ilvl w:val="1"/>
          <w:numId w:val="3"/>
        </w:numPr>
        <w:tabs>
          <w:tab w:val="clear" w:pos="1134"/>
          <w:tab w:val="left" w:pos="1418" w:leader="none"/>
        </w:tabs>
        <w:bidi w:val="0"/>
        <w:ind w:start="1418" w:hanging="283"/>
        <w:jc w:val="start"/>
        <w:rPr/>
      </w:pPr>
      <w:r>
        <w:rPr/>
        <w:t xml:space="preserve">Personal Protection: </w:t>
      </w:r>
    </w:p>
    <w:tbl>
      <w:tblPr>
        <w:tblW w:w="2851" w:type="dxa"/>
        <w:jc w:val="start"/>
        <w:tblInd w:w="1418" w:type="dxa"/>
        <w:tblLayout w:type="fixed"/>
        <w:tblCellMar>
          <w:top w:w="28" w:type="dxa"/>
          <w:start w:w="28" w:type="dxa"/>
          <w:bottom w:w="28" w:type="dxa"/>
          <w:end w:w="28" w:type="dxa"/>
        </w:tblCellMar>
      </w:tblPr>
      <w:tblGrid>
        <w:gridCol w:w="2851"/>
      </w:tblGrid>
      <w:tr>
        <w:trPr/>
        <w:tc>
          <w:tcPr>
            <w:tcW w:w="2851" w:type="dxa"/>
            <w:tcBorders/>
            <w:vAlign w:val="center"/>
          </w:tcPr>
          <w:p>
            <w:pPr>
              <w:pStyle w:val="TableContents"/>
              <w:bidi w:val="0"/>
              <w:spacing w:before="0" w:after="283"/>
              <w:jc w:val="start"/>
              <w:rPr/>
            </w:pPr>
            <w:r>
              <w:rPr/>
              <w:t xml:space="preserve">Skin: Frostbite Eyes: Frostbite Wash skin: No recommendation Remove: When wet (flammable) Change: No recommendation Provide: Frostbite washNIOSHMX1225000 </w:t>
            </w:r>
          </w:p>
        </w:tc>
      </w:tr>
    </w:tbl>
    <w:p>
      <w:pPr>
        <w:pStyle w:val="Heading2"/>
        <w:numPr>
          <w:ilvl w:val="1"/>
          <w:numId w:val="3"/>
        </w:numPr>
        <w:tabs>
          <w:tab w:val="clear" w:pos="1134"/>
          <w:tab w:val="left" w:pos="1418" w:leader="none"/>
        </w:tabs>
        <w:bidi w:val="0"/>
        <w:ind w:start="1418" w:hanging="283"/>
        <w:jc w:val="start"/>
        <w:rPr/>
      </w:pPr>
      <w:r>
        <w:rPr/>
        <w:t xml:space="preserve">Exposure Limits: </w:t>
      </w:r>
    </w:p>
    <w:tbl>
      <w:tblPr>
        <w:tblW w:w="2851" w:type="dxa"/>
        <w:jc w:val="start"/>
        <w:tblInd w:w="1418" w:type="dxa"/>
        <w:tblLayout w:type="fixed"/>
        <w:tblCellMar>
          <w:top w:w="28" w:type="dxa"/>
          <w:start w:w="28" w:type="dxa"/>
          <w:bottom w:w="28" w:type="dxa"/>
          <w:end w:w="28" w:type="dxa"/>
        </w:tblCellMar>
      </w:tblPr>
      <w:tblGrid>
        <w:gridCol w:w="2851"/>
      </w:tblGrid>
      <w:tr>
        <w:trPr/>
        <w:tc>
          <w:tcPr>
            <w:tcW w:w="2851" w:type="dxa"/>
            <w:tcBorders/>
            <w:vAlign w:val="center"/>
          </w:tcPr>
          <w:p>
            <w:pPr>
              <w:pStyle w:val="TableContents"/>
              <w:bidi w:val="0"/>
              <w:spacing w:before="0" w:after="283"/>
              <w:jc w:val="start"/>
              <w:rPr/>
            </w:pPr>
            <w:r>
              <w:rPr/>
              <w:t xml:space="preserve">NIOSH REL : C 10 ppm (15 mg/m 3 ) [10-minute] OSHA PEL ?: C 20 ppm 50 ppm [10-minute maximum peak]NIOSHMX1225000 </w:t>
            </w:r>
          </w:p>
        </w:tc>
      </w:tr>
    </w:tbl>
    <w:p>
      <w:pPr>
        <w:pStyle w:val="TextBody"/>
        <w:numPr>
          <w:ilvl w:val="0"/>
          <w:numId w:val="3"/>
        </w:numPr>
        <w:tabs>
          <w:tab w:val="clear" w:pos="1134"/>
          <w:tab w:val="left" w:pos="709" w:leader="none"/>
        </w:tabs>
        <w:bidi w:val="0"/>
        <w:spacing w:before="0" w:after="0"/>
        <w:ind w:start="709" w:hanging="283"/>
        <w:jc w:val="start"/>
        <w:rPr/>
      </w:pPr>
      <w:r>
        <w:rPr/>
        <w:t xml:space="preserve">Gas Chromatography </w:t>
      </w:r>
    </w:p>
    <w:p>
      <w:pPr>
        <w:pStyle w:val="Heading2"/>
        <w:numPr>
          <w:ilvl w:val="1"/>
          <w:numId w:val="3"/>
        </w:numPr>
        <w:tabs>
          <w:tab w:val="clear" w:pos="1134"/>
          <w:tab w:val="left" w:pos="1418" w:leader="none"/>
        </w:tabs>
        <w:bidi w:val="0"/>
        <w:ind w:start="1418" w:hanging="283"/>
        <w:jc w:val="start"/>
        <w:rPr/>
      </w:pPr>
      <w:r>
        <w:rPr/>
        <w:t xml:space="preserve">Retention Index (Normal Alkane): </w:t>
      </w:r>
    </w:p>
    <w:tbl>
      <w:tblPr>
        <w:tblW w:w="2851" w:type="dxa"/>
        <w:jc w:val="start"/>
        <w:tblInd w:w="1418" w:type="dxa"/>
        <w:tblLayout w:type="fixed"/>
        <w:tblCellMar>
          <w:top w:w="28" w:type="dxa"/>
          <w:start w:w="28" w:type="dxa"/>
          <w:bottom w:w="28" w:type="dxa"/>
          <w:end w:w="28" w:type="dxa"/>
        </w:tblCellMar>
      </w:tblPr>
      <w:tblGrid>
        <w:gridCol w:w="2851"/>
      </w:tblGrid>
      <w:tr>
        <w:trPr/>
        <w:tc>
          <w:tcPr>
            <w:tcW w:w="2851" w:type="dxa"/>
            <w:tcBorders/>
            <w:vAlign w:val="center"/>
          </w:tcPr>
          <w:p>
            <w:pPr>
              <w:pStyle w:val="TableContents"/>
              <w:bidi w:val="0"/>
              <w:spacing w:before="0" w:after="283"/>
              <w:jc w:val="start"/>
              <w:rPr/>
            </w:pPr>
            <w:r>
              <w:rPr/>
              <w:t xml:space="preserve">438 (Program type: Ramp; Column cl… (show more)ass: Standard non-polar; Column diameter: 0. 20 mm; Column length: 50 m; Column type: Capillary; CAS no: 7783064; Active phase: PONA; Phase thickness: 0. 50 um; Data type: Normal alkane RI; Authors: Yang, Y.-T.; Wang, Z.; Han. J.-H.; Tian, H.-P.; Yang, H.-Y., Determination of sulfur compounds in gasoline fraction of microreactor products by gas chromatography – Atomic emission detector, Petrochemical Technology (Shiyou Huagong), 32(11), 2003, 995-998., Program type: Ramp; Column cl… (show more)ass: Standard non-polar; Column diameter: 0. 20 mm; Column length: 50 m; Column type: Capillary; Heat rate: 2 K/min; Start T: 30 C; End T: 150 C; CAS no: 7783064; Active phase: PONA; Phase thickness: 0. 50 um; Data type: Normal alkane RI; Authors: Yang, Y.-T.; Wang, Z.; Han. J.-H.; Tian, H.-P.; Yang, H.-Y., Determination of sulfur compounds in gasoline fraction of microreactor products by gas chromatography – Atomic emission detector, Petrochemical Technology (Shiyou Huagong), 32(11), 2003, 995-998.)NIST Spectranist ri </w:t>
            </w:r>
          </w:p>
        </w:tc>
      </w:tr>
      <w:tr>
        <w:trPr/>
        <w:tc>
          <w:tcPr>
            <w:tcW w:w="2851" w:type="dxa"/>
            <w:tcBorders/>
            <w:vAlign w:val="center"/>
          </w:tcPr>
          <w:p>
            <w:pPr>
              <w:pStyle w:val="TableContents"/>
              <w:bidi w:val="0"/>
              <w:spacing w:before="0" w:after="283"/>
              <w:jc w:val="start"/>
              <w:rPr/>
            </w:pPr>
            <w:r>
              <w:rPr/>
              <w:t xml:space="preserve">480 (Program type: Ramp; Column cl… (show more)ass: Standard polar; Column diameter: 0. 25 mm; Column length: 60 m; Column type: Capillary; Heat rate: 3 K/min; Start T: 70 C; End T: 220 C; End time: 40 min; CAS no: 7783064; Active phase: TC-Wax; Carrier gas: N2; Phase thickness: 0. 25 um; Data type: Normal alkane RI; Authors: Ishizaki, S.; Tachihara, T.; Tamura, H.; Yanai, T.; Kitahara, T., Evaluation of odour-active compounds in roasted shrimp (Sergia lucens Hansen) by aroma extract dilution analysis, Flavour Fragr. J., 20, 2005, 562-566., Program type: Ramp; Column cl… (show more)ass: Standard polar; Column type: Capillary; CAS no: 7783064; Active phase: TC-Wax; Data type: Normal alkane RI; Authors: Tachihara, T.; Ishizaki, S.; Ishikawa, M.; Kitahara, T., Studies on the volatile compounds of roasted spotted shrimp, Chemistry &amp; Biodiversity, 1, 2004, 2024-2033.)NIST Spectranist ri </w:t>
            </w:r>
          </w:p>
        </w:tc>
      </w:tr>
    </w:tbl>
    <w:p>
      <w:pPr>
        <w:pStyle w:val="TextBody"/>
        <w:bidi w:val="0"/>
        <w:jc w:val="start"/>
        <w:rPr/>
      </w:pPr>
      <w:r>
        <w:rPr/>
        <w:t xml:space="preserve">Predicted data is generated using the ACD/Labs Percepta Platform – PhysChem Module </w:t>
      </w:r>
    </w:p>
    <w:p>
      <w:pPr>
        <w:pStyle w:val="a"/>
        <w:bidi w:val="0"/>
        <w:spacing w:before="0" w:after="0"/>
        <w:jc w:val="start"/>
        <w:rPr>
          <w:sz w:val="4"/>
          <w:szCs w:val="4"/>
        </w:rPr>
      </w:pPr>
      <w:r>
        <w:rPr>
          <w:sz w:val="4"/>
          <w:szCs w:val="4"/>
        </w:rPr>
      </w:r>
      <w:bookmarkStart w:id="1" w:name="_acdlabs-table"/>
      <w:bookmarkStart w:id="2" w:name="_acdlabs-table"/>
      <w:bookmarkEnd w:id="1"/>
    </w:p>
    <w:tbl>
      <w:tblPr>
        <w:tblW w:w="5000" w:type="pct"/>
        <w:jc w:val="start"/>
        <w:tblInd w:w="0" w:type="dxa"/>
        <w:tblLayout w:type="fixed"/>
        <w:tblCellMar>
          <w:top w:w="28" w:type="dxa"/>
          <w:start w:w="28" w:type="dxa"/>
          <w:bottom w:w="28" w:type="dxa"/>
          <w:end w:w="28" w:type="dxa"/>
        </w:tblCellMar>
      </w:tblPr>
      <w:tblGrid>
        <w:gridCol w:w="2121"/>
        <w:gridCol w:w="2148"/>
      </w:tblGrid>
      <w:tr>
        <w:trPr/>
        <w:tc>
          <w:tcPr>
            <w:tcW w:w="2121" w:type="dxa"/>
            <w:tcBorders/>
            <w:vAlign w:val="center"/>
          </w:tcPr>
          <w:p>
            <w:pPr>
              <w:pStyle w:val="TableContents"/>
              <w:bidi w:val="0"/>
              <w:spacing w:before="0" w:after="283"/>
              <w:jc w:val="start"/>
              <w:rPr/>
            </w:pPr>
            <w:r>
              <w:rPr/>
              <w:t xml:space="preserve">Density: </w:t>
            </w:r>
          </w:p>
        </w:tc>
        <w:tc>
          <w:tcPr>
            <w:tcW w:w="2148" w:type="dxa"/>
            <w:tcBorders/>
            <w:vAlign w:val="center"/>
          </w:tcPr>
          <w:p>
            <w:pPr>
              <w:pStyle w:val="TableContents"/>
              <w:bidi w:val="0"/>
              <w:spacing w:before="0" w:after="283"/>
              <w:jc w:val="start"/>
              <w:rPr>
                <w:sz w:val="4"/>
                <w:szCs w:val="4"/>
              </w:rPr>
            </w:pPr>
            <w:r>
              <w:rPr>
                <w:sz w:val="4"/>
                <w:szCs w:val="4"/>
              </w:rPr>
            </w:r>
          </w:p>
        </w:tc>
      </w:tr>
      <w:tr>
        <w:trPr/>
        <w:tc>
          <w:tcPr>
            <w:tcW w:w="2121" w:type="dxa"/>
            <w:tcBorders/>
            <w:vAlign w:val="center"/>
          </w:tcPr>
          <w:p>
            <w:pPr>
              <w:pStyle w:val="TableContents"/>
              <w:bidi w:val="0"/>
              <w:spacing w:before="0" w:after="283"/>
              <w:jc w:val="start"/>
              <w:rPr/>
            </w:pPr>
            <w:r>
              <w:rPr/>
              <w:t xml:space="preserve">Boiling Point: </w:t>
            </w:r>
          </w:p>
        </w:tc>
        <w:tc>
          <w:tcPr>
            <w:tcW w:w="2148" w:type="dxa"/>
            <w:tcBorders/>
            <w:vAlign w:val="center"/>
          </w:tcPr>
          <w:p>
            <w:pPr>
              <w:pStyle w:val="TableContents"/>
              <w:bidi w:val="0"/>
              <w:spacing w:before="0" w:after="283"/>
              <w:jc w:val="start"/>
              <w:rPr/>
            </w:pPr>
            <w:r>
              <w:rPr/>
              <w:t xml:space="preserve">-60. 7±9. 0 °C at 760 mmHg </w:t>
            </w:r>
          </w:p>
        </w:tc>
      </w:tr>
      <w:tr>
        <w:trPr/>
        <w:tc>
          <w:tcPr>
            <w:tcW w:w="2121" w:type="dxa"/>
            <w:tcBorders/>
            <w:vAlign w:val="center"/>
          </w:tcPr>
          <w:p>
            <w:pPr>
              <w:pStyle w:val="TableContents"/>
              <w:bidi w:val="0"/>
              <w:spacing w:before="0" w:after="283"/>
              <w:jc w:val="start"/>
              <w:rPr/>
            </w:pPr>
            <w:r>
              <w:rPr/>
              <w:t xml:space="preserve">Vapour Pressure: </w:t>
            </w:r>
          </w:p>
        </w:tc>
        <w:tc>
          <w:tcPr>
            <w:tcW w:w="2148" w:type="dxa"/>
            <w:tcBorders/>
            <w:vAlign w:val="center"/>
          </w:tcPr>
          <w:p>
            <w:pPr>
              <w:pStyle w:val="TableContents"/>
              <w:bidi w:val="0"/>
              <w:spacing w:before="0" w:after="283"/>
              <w:jc w:val="start"/>
              <w:rPr/>
            </w:pPr>
            <w:r>
              <w:rPr/>
              <w:t xml:space="preserve">12581. 3±0. 1 mmHg at 25°C </w:t>
            </w:r>
          </w:p>
        </w:tc>
      </w:tr>
      <w:tr>
        <w:trPr/>
        <w:tc>
          <w:tcPr>
            <w:tcW w:w="2121" w:type="dxa"/>
            <w:tcBorders/>
            <w:vAlign w:val="center"/>
          </w:tcPr>
          <w:p>
            <w:pPr>
              <w:pStyle w:val="TableContents"/>
              <w:bidi w:val="0"/>
              <w:spacing w:before="0" w:after="283"/>
              <w:jc w:val="start"/>
              <w:rPr/>
            </w:pPr>
            <w:r>
              <w:rPr/>
              <w:t xml:space="preserve">Enthalpy of Vaporization: </w:t>
            </w:r>
          </w:p>
        </w:tc>
        <w:tc>
          <w:tcPr>
            <w:tcW w:w="2148" w:type="dxa"/>
            <w:tcBorders/>
            <w:vAlign w:val="center"/>
          </w:tcPr>
          <w:p>
            <w:pPr>
              <w:pStyle w:val="TableContents"/>
              <w:bidi w:val="0"/>
              <w:spacing w:before="0" w:after="283"/>
              <w:jc w:val="start"/>
              <w:rPr/>
            </w:pPr>
            <w:r>
              <w:rPr/>
              <w:t xml:space="preserve">18. 7±0. 0 kJ/mol </w:t>
            </w:r>
          </w:p>
        </w:tc>
      </w:tr>
      <w:tr>
        <w:trPr/>
        <w:tc>
          <w:tcPr>
            <w:tcW w:w="2121" w:type="dxa"/>
            <w:tcBorders/>
            <w:vAlign w:val="center"/>
          </w:tcPr>
          <w:p>
            <w:pPr>
              <w:pStyle w:val="TableContents"/>
              <w:bidi w:val="0"/>
              <w:spacing w:before="0" w:after="283"/>
              <w:jc w:val="start"/>
              <w:rPr/>
            </w:pPr>
            <w:r>
              <w:rPr/>
              <w:t xml:space="preserve">Flash Point: </w:t>
            </w:r>
          </w:p>
        </w:tc>
        <w:tc>
          <w:tcPr>
            <w:tcW w:w="2148" w:type="dxa"/>
            <w:tcBorders/>
            <w:vAlign w:val="center"/>
          </w:tcPr>
          <w:p>
            <w:pPr>
              <w:pStyle w:val="TableContents"/>
              <w:bidi w:val="0"/>
              <w:spacing w:before="0" w:after="283"/>
              <w:jc w:val="start"/>
              <w:rPr>
                <w:sz w:val="4"/>
                <w:szCs w:val="4"/>
              </w:rPr>
            </w:pPr>
            <w:r>
              <w:rPr>
                <w:sz w:val="4"/>
                <w:szCs w:val="4"/>
              </w:rPr>
            </w:r>
          </w:p>
        </w:tc>
      </w:tr>
      <w:tr>
        <w:trPr/>
        <w:tc>
          <w:tcPr>
            <w:tcW w:w="2121" w:type="dxa"/>
            <w:tcBorders/>
            <w:vAlign w:val="center"/>
          </w:tcPr>
          <w:p>
            <w:pPr>
              <w:pStyle w:val="TableContents"/>
              <w:bidi w:val="0"/>
              <w:spacing w:before="0" w:after="283"/>
              <w:jc w:val="start"/>
              <w:rPr/>
            </w:pPr>
            <w:r>
              <w:rPr/>
              <w:t xml:space="preserve">Index of Refraction: </w:t>
            </w:r>
          </w:p>
        </w:tc>
        <w:tc>
          <w:tcPr>
            <w:tcW w:w="2148" w:type="dxa"/>
            <w:tcBorders/>
            <w:vAlign w:val="center"/>
          </w:tcPr>
          <w:p>
            <w:pPr>
              <w:pStyle w:val="TableContents"/>
              <w:bidi w:val="0"/>
              <w:spacing w:before="0" w:after="283"/>
              <w:jc w:val="start"/>
              <w:rPr>
                <w:sz w:val="4"/>
                <w:szCs w:val="4"/>
              </w:rPr>
            </w:pPr>
            <w:r>
              <w:rPr>
                <w:sz w:val="4"/>
                <w:szCs w:val="4"/>
              </w:rPr>
            </w:r>
          </w:p>
        </w:tc>
      </w:tr>
      <w:tr>
        <w:trPr/>
        <w:tc>
          <w:tcPr>
            <w:tcW w:w="2121" w:type="dxa"/>
            <w:tcBorders/>
            <w:vAlign w:val="center"/>
          </w:tcPr>
          <w:p>
            <w:pPr>
              <w:pStyle w:val="TableContents"/>
              <w:bidi w:val="0"/>
              <w:spacing w:before="0" w:after="283"/>
              <w:jc w:val="start"/>
              <w:rPr/>
            </w:pPr>
            <w:r>
              <w:rPr/>
              <w:t xml:space="preserve">Molar Refractivity: </w:t>
            </w:r>
          </w:p>
        </w:tc>
        <w:tc>
          <w:tcPr>
            <w:tcW w:w="2148" w:type="dxa"/>
            <w:tcBorders/>
            <w:vAlign w:val="center"/>
          </w:tcPr>
          <w:p>
            <w:pPr>
              <w:pStyle w:val="TableContents"/>
              <w:bidi w:val="0"/>
              <w:spacing w:before="0" w:after="283"/>
              <w:jc w:val="start"/>
              <w:rPr>
                <w:sz w:val="4"/>
                <w:szCs w:val="4"/>
              </w:rPr>
            </w:pPr>
            <w:r>
              <w:rPr>
                <w:sz w:val="4"/>
                <w:szCs w:val="4"/>
              </w:rPr>
            </w:r>
          </w:p>
        </w:tc>
      </w:tr>
      <w:tr>
        <w:trPr/>
        <w:tc>
          <w:tcPr>
            <w:tcW w:w="2121" w:type="dxa"/>
            <w:tcBorders/>
            <w:vAlign w:val="center"/>
          </w:tcPr>
          <w:p>
            <w:pPr>
              <w:pStyle w:val="TableContents"/>
              <w:bidi w:val="0"/>
              <w:spacing w:before="0" w:after="283"/>
              <w:jc w:val="start"/>
              <w:rPr/>
            </w:pPr>
            <w:r>
              <w:rPr/>
              <w:t xml:space="preserve">#H bond acceptors: </w:t>
            </w:r>
          </w:p>
        </w:tc>
        <w:tc>
          <w:tcPr>
            <w:tcW w:w="2148" w:type="dxa"/>
            <w:tcBorders/>
            <w:vAlign w:val="center"/>
          </w:tcPr>
          <w:p>
            <w:pPr>
              <w:pStyle w:val="TableContents"/>
              <w:bidi w:val="0"/>
              <w:spacing w:before="0" w:after="283"/>
              <w:jc w:val="start"/>
              <w:rPr/>
            </w:pPr>
            <w:r>
              <w:rPr/>
              <w:t xml:space="preserve">0 </w:t>
            </w:r>
          </w:p>
        </w:tc>
      </w:tr>
      <w:tr>
        <w:trPr/>
        <w:tc>
          <w:tcPr>
            <w:tcW w:w="2121" w:type="dxa"/>
            <w:tcBorders/>
            <w:vAlign w:val="center"/>
          </w:tcPr>
          <w:p>
            <w:pPr>
              <w:pStyle w:val="TableContents"/>
              <w:bidi w:val="0"/>
              <w:spacing w:before="0" w:after="283"/>
              <w:jc w:val="start"/>
              <w:rPr/>
            </w:pPr>
            <w:r>
              <w:rPr/>
              <w:t xml:space="preserve">#H bond donors: </w:t>
            </w:r>
          </w:p>
        </w:tc>
        <w:tc>
          <w:tcPr>
            <w:tcW w:w="2148" w:type="dxa"/>
            <w:tcBorders/>
            <w:vAlign w:val="center"/>
          </w:tcPr>
          <w:p>
            <w:pPr>
              <w:pStyle w:val="TableContents"/>
              <w:bidi w:val="0"/>
              <w:spacing w:before="0" w:after="283"/>
              <w:jc w:val="start"/>
              <w:rPr/>
            </w:pPr>
            <w:r>
              <w:rPr/>
              <w:t xml:space="preserve">0 </w:t>
            </w:r>
          </w:p>
        </w:tc>
      </w:tr>
      <w:tr>
        <w:trPr/>
        <w:tc>
          <w:tcPr>
            <w:tcW w:w="2121" w:type="dxa"/>
            <w:tcBorders/>
            <w:vAlign w:val="center"/>
          </w:tcPr>
          <w:p>
            <w:pPr>
              <w:pStyle w:val="TableContents"/>
              <w:bidi w:val="0"/>
              <w:spacing w:before="0" w:after="283"/>
              <w:jc w:val="start"/>
              <w:rPr/>
            </w:pPr>
            <w:r>
              <w:rPr/>
              <w:t xml:space="preserve">#Freely Rotating Bonds: </w:t>
            </w:r>
          </w:p>
        </w:tc>
        <w:tc>
          <w:tcPr>
            <w:tcW w:w="2148" w:type="dxa"/>
            <w:tcBorders/>
            <w:vAlign w:val="center"/>
          </w:tcPr>
          <w:p>
            <w:pPr>
              <w:pStyle w:val="TableContents"/>
              <w:bidi w:val="0"/>
              <w:spacing w:before="0" w:after="283"/>
              <w:jc w:val="start"/>
              <w:rPr/>
            </w:pPr>
            <w:r>
              <w:rPr/>
              <w:t xml:space="preserve">0 </w:t>
            </w:r>
          </w:p>
        </w:tc>
      </w:tr>
      <w:tr>
        <w:trPr/>
        <w:tc>
          <w:tcPr>
            <w:tcW w:w="2121" w:type="dxa"/>
            <w:tcBorders/>
            <w:vAlign w:val="center"/>
          </w:tcPr>
          <w:p>
            <w:pPr>
              <w:pStyle w:val="TableContents"/>
              <w:bidi w:val="0"/>
              <w:spacing w:before="0" w:after="283"/>
              <w:jc w:val="start"/>
              <w:rPr/>
            </w:pPr>
            <w:r>
              <w:rPr/>
              <w:t xml:space="preserve">#Rule of 5 Violations: </w:t>
            </w:r>
          </w:p>
        </w:tc>
        <w:tc>
          <w:tcPr>
            <w:tcW w:w="2148" w:type="dxa"/>
            <w:tcBorders/>
            <w:vAlign w:val="center"/>
          </w:tcPr>
          <w:p>
            <w:pPr>
              <w:pStyle w:val="TableContents"/>
              <w:bidi w:val="0"/>
              <w:spacing w:before="0" w:after="283"/>
              <w:jc w:val="start"/>
              <w:rPr>
                <w:sz w:val="4"/>
                <w:szCs w:val="4"/>
              </w:rPr>
            </w:pPr>
            <w:r>
              <w:rPr>
                <w:sz w:val="4"/>
                <w:szCs w:val="4"/>
              </w:rPr>
            </w:r>
          </w:p>
        </w:tc>
      </w:tr>
    </w:tbl>
    <w:tbl>
      <w:tblPr>
        <w:tblW w:w="5000" w:type="pct"/>
        <w:jc w:val="start"/>
        <w:tblInd w:w="0" w:type="dxa"/>
        <w:tblLayout w:type="fixed"/>
        <w:tblCellMar>
          <w:top w:w="28" w:type="dxa"/>
          <w:start w:w="28" w:type="dxa"/>
          <w:bottom w:w="28" w:type="dxa"/>
          <w:end w:w="28" w:type="dxa"/>
        </w:tblCellMar>
      </w:tblPr>
      <w:tblGrid>
        <w:gridCol w:w="3258"/>
        <w:gridCol w:w="1010"/>
      </w:tblGrid>
      <w:tr>
        <w:trPr/>
        <w:tc>
          <w:tcPr>
            <w:tcW w:w="3258" w:type="dxa"/>
            <w:tcBorders/>
            <w:vAlign w:val="center"/>
          </w:tcPr>
          <w:p>
            <w:pPr>
              <w:pStyle w:val="TableContents"/>
              <w:bidi w:val="0"/>
              <w:spacing w:before="0" w:after="283"/>
              <w:jc w:val="start"/>
              <w:rPr/>
            </w:pPr>
            <w:r>
              <w:rPr/>
              <w:t xml:space="preserve">ACD/LogP: </w:t>
            </w:r>
          </w:p>
        </w:tc>
        <w:tc>
          <w:tcPr>
            <w:tcW w:w="1010" w:type="dxa"/>
            <w:tcBorders/>
            <w:vAlign w:val="center"/>
          </w:tcPr>
          <w:p>
            <w:pPr>
              <w:pStyle w:val="TableContents"/>
              <w:bidi w:val="0"/>
              <w:spacing w:before="0" w:after="283"/>
              <w:jc w:val="start"/>
              <w:rPr>
                <w:sz w:val="4"/>
                <w:szCs w:val="4"/>
              </w:rPr>
            </w:pPr>
            <w:r>
              <w:rPr>
                <w:sz w:val="4"/>
                <w:szCs w:val="4"/>
              </w:rPr>
            </w:r>
          </w:p>
        </w:tc>
      </w:tr>
      <w:tr>
        <w:trPr/>
        <w:tc>
          <w:tcPr>
            <w:tcW w:w="3258" w:type="dxa"/>
            <w:tcBorders/>
            <w:vAlign w:val="center"/>
          </w:tcPr>
          <w:p>
            <w:pPr>
              <w:pStyle w:val="TableContents"/>
              <w:bidi w:val="0"/>
              <w:spacing w:before="0" w:after="283"/>
              <w:jc w:val="start"/>
              <w:rPr/>
            </w:pPr>
            <w:r>
              <w:rPr/>
              <w:t xml:space="preserve">ACD/LogD (pH 5. 5): </w:t>
            </w:r>
          </w:p>
        </w:tc>
        <w:tc>
          <w:tcPr>
            <w:tcW w:w="1010" w:type="dxa"/>
            <w:tcBorders/>
            <w:vAlign w:val="center"/>
          </w:tcPr>
          <w:p>
            <w:pPr>
              <w:pStyle w:val="TableContents"/>
              <w:bidi w:val="0"/>
              <w:spacing w:before="0" w:after="283"/>
              <w:jc w:val="start"/>
              <w:rPr>
                <w:sz w:val="4"/>
                <w:szCs w:val="4"/>
              </w:rPr>
            </w:pPr>
            <w:r>
              <w:rPr>
                <w:sz w:val="4"/>
                <w:szCs w:val="4"/>
              </w:rPr>
            </w:r>
          </w:p>
        </w:tc>
      </w:tr>
      <w:tr>
        <w:trPr/>
        <w:tc>
          <w:tcPr>
            <w:tcW w:w="3258" w:type="dxa"/>
            <w:tcBorders/>
            <w:vAlign w:val="center"/>
          </w:tcPr>
          <w:p>
            <w:pPr>
              <w:pStyle w:val="TableContents"/>
              <w:bidi w:val="0"/>
              <w:spacing w:before="0" w:after="283"/>
              <w:jc w:val="start"/>
              <w:rPr/>
            </w:pPr>
            <w:r>
              <w:rPr/>
              <w:t xml:space="preserve">ACD/BCF (pH 5. 5): </w:t>
            </w:r>
          </w:p>
        </w:tc>
        <w:tc>
          <w:tcPr>
            <w:tcW w:w="1010" w:type="dxa"/>
            <w:tcBorders/>
            <w:vAlign w:val="center"/>
          </w:tcPr>
          <w:p>
            <w:pPr>
              <w:pStyle w:val="TableContents"/>
              <w:bidi w:val="0"/>
              <w:spacing w:before="0" w:after="283"/>
              <w:jc w:val="start"/>
              <w:rPr>
                <w:sz w:val="4"/>
                <w:szCs w:val="4"/>
              </w:rPr>
            </w:pPr>
            <w:r>
              <w:rPr>
                <w:sz w:val="4"/>
                <w:szCs w:val="4"/>
              </w:rPr>
            </w:r>
          </w:p>
        </w:tc>
      </w:tr>
      <w:tr>
        <w:trPr/>
        <w:tc>
          <w:tcPr>
            <w:tcW w:w="3258" w:type="dxa"/>
            <w:tcBorders/>
            <w:vAlign w:val="center"/>
          </w:tcPr>
          <w:p>
            <w:pPr>
              <w:pStyle w:val="TableContents"/>
              <w:bidi w:val="0"/>
              <w:spacing w:before="0" w:after="283"/>
              <w:jc w:val="start"/>
              <w:rPr/>
            </w:pPr>
            <w:r>
              <w:rPr/>
              <w:t xml:space="preserve">ACD/KOC (pH 5. 5): </w:t>
            </w:r>
          </w:p>
        </w:tc>
        <w:tc>
          <w:tcPr>
            <w:tcW w:w="1010" w:type="dxa"/>
            <w:tcBorders/>
            <w:vAlign w:val="center"/>
          </w:tcPr>
          <w:p>
            <w:pPr>
              <w:pStyle w:val="TableContents"/>
              <w:bidi w:val="0"/>
              <w:spacing w:before="0" w:after="283"/>
              <w:jc w:val="start"/>
              <w:rPr>
                <w:sz w:val="4"/>
                <w:szCs w:val="4"/>
              </w:rPr>
            </w:pPr>
            <w:r>
              <w:rPr>
                <w:sz w:val="4"/>
                <w:szCs w:val="4"/>
              </w:rPr>
            </w:r>
          </w:p>
        </w:tc>
      </w:tr>
      <w:tr>
        <w:trPr/>
        <w:tc>
          <w:tcPr>
            <w:tcW w:w="3258" w:type="dxa"/>
            <w:tcBorders/>
            <w:vAlign w:val="center"/>
          </w:tcPr>
          <w:p>
            <w:pPr>
              <w:pStyle w:val="TableContents"/>
              <w:bidi w:val="0"/>
              <w:spacing w:before="0" w:after="283"/>
              <w:jc w:val="start"/>
              <w:rPr/>
            </w:pPr>
            <w:r>
              <w:rPr/>
              <w:t xml:space="preserve">ACD/LogD (pH 7. 4): </w:t>
            </w:r>
          </w:p>
        </w:tc>
        <w:tc>
          <w:tcPr>
            <w:tcW w:w="1010" w:type="dxa"/>
            <w:tcBorders/>
            <w:vAlign w:val="center"/>
          </w:tcPr>
          <w:p>
            <w:pPr>
              <w:pStyle w:val="TableContents"/>
              <w:bidi w:val="0"/>
              <w:spacing w:before="0" w:after="283"/>
              <w:jc w:val="start"/>
              <w:rPr>
                <w:sz w:val="4"/>
                <w:szCs w:val="4"/>
              </w:rPr>
            </w:pPr>
            <w:r>
              <w:rPr>
                <w:sz w:val="4"/>
                <w:szCs w:val="4"/>
              </w:rPr>
            </w:r>
          </w:p>
        </w:tc>
      </w:tr>
      <w:tr>
        <w:trPr/>
        <w:tc>
          <w:tcPr>
            <w:tcW w:w="3258" w:type="dxa"/>
            <w:tcBorders/>
            <w:vAlign w:val="center"/>
          </w:tcPr>
          <w:p>
            <w:pPr>
              <w:pStyle w:val="TableContents"/>
              <w:bidi w:val="0"/>
              <w:spacing w:before="0" w:after="283"/>
              <w:jc w:val="start"/>
              <w:rPr/>
            </w:pPr>
            <w:r>
              <w:rPr/>
              <w:t xml:space="preserve">ACD/BCF (pH 7. 4): </w:t>
            </w:r>
          </w:p>
        </w:tc>
        <w:tc>
          <w:tcPr>
            <w:tcW w:w="1010" w:type="dxa"/>
            <w:tcBorders/>
            <w:vAlign w:val="center"/>
          </w:tcPr>
          <w:p>
            <w:pPr>
              <w:pStyle w:val="TableContents"/>
              <w:bidi w:val="0"/>
              <w:spacing w:before="0" w:after="283"/>
              <w:jc w:val="start"/>
              <w:rPr>
                <w:sz w:val="4"/>
                <w:szCs w:val="4"/>
              </w:rPr>
            </w:pPr>
            <w:r>
              <w:rPr>
                <w:sz w:val="4"/>
                <w:szCs w:val="4"/>
              </w:rPr>
            </w:r>
          </w:p>
        </w:tc>
      </w:tr>
      <w:tr>
        <w:trPr/>
        <w:tc>
          <w:tcPr>
            <w:tcW w:w="3258" w:type="dxa"/>
            <w:tcBorders/>
            <w:vAlign w:val="center"/>
          </w:tcPr>
          <w:p>
            <w:pPr>
              <w:pStyle w:val="TableContents"/>
              <w:bidi w:val="0"/>
              <w:spacing w:before="0" w:after="283"/>
              <w:jc w:val="start"/>
              <w:rPr/>
            </w:pPr>
            <w:r>
              <w:rPr/>
              <w:t xml:space="preserve">ACD/KOC (pH 7. 4): </w:t>
            </w:r>
          </w:p>
        </w:tc>
        <w:tc>
          <w:tcPr>
            <w:tcW w:w="1010" w:type="dxa"/>
            <w:tcBorders/>
            <w:vAlign w:val="center"/>
          </w:tcPr>
          <w:p>
            <w:pPr>
              <w:pStyle w:val="TableContents"/>
              <w:bidi w:val="0"/>
              <w:spacing w:before="0" w:after="283"/>
              <w:jc w:val="start"/>
              <w:rPr>
                <w:sz w:val="4"/>
                <w:szCs w:val="4"/>
              </w:rPr>
            </w:pPr>
            <w:r>
              <w:rPr>
                <w:sz w:val="4"/>
                <w:szCs w:val="4"/>
              </w:rPr>
            </w:r>
          </w:p>
        </w:tc>
      </w:tr>
      <w:tr>
        <w:trPr/>
        <w:tc>
          <w:tcPr>
            <w:tcW w:w="3258" w:type="dxa"/>
            <w:tcBorders/>
            <w:vAlign w:val="center"/>
          </w:tcPr>
          <w:p>
            <w:pPr>
              <w:pStyle w:val="TableContents"/>
              <w:bidi w:val="0"/>
              <w:spacing w:before="0" w:after="283"/>
              <w:jc w:val="start"/>
              <w:rPr/>
            </w:pPr>
            <w:r>
              <w:rPr/>
              <w:t xml:space="preserve">Polar Surface Area: </w:t>
            </w:r>
          </w:p>
        </w:tc>
        <w:tc>
          <w:tcPr>
            <w:tcW w:w="1010" w:type="dxa"/>
            <w:tcBorders/>
            <w:vAlign w:val="center"/>
          </w:tcPr>
          <w:p>
            <w:pPr>
              <w:pStyle w:val="TableContents"/>
              <w:bidi w:val="0"/>
              <w:spacing w:before="0" w:after="283"/>
              <w:jc w:val="start"/>
              <w:rPr/>
            </w:pPr>
            <w:r>
              <w:rPr/>
              <w:t xml:space="preserve">0 Å </w:t>
            </w:r>
            <w:r>
              <w:rPr>
                <w:position w:val="8"/>
                <w:sz w:val="19"/>
              </w:rPr>
              <w:t xml:space="preserve">2 </w:t>
            </w:r>
          </w:p>
        </w:tc>
      </w:tr>
      <w:tr>
        <w:trPr/>
        <w:tc>
          <w:tcPr>
            <w:tcW w:w="3258" w:type="dxa"/>
            <w:tcBorders/>
            <w:vAlign w:val="center"/>
          </w:tcPr>
          <w:p>
            <w:pPr>
              <w:pStyle w:val="TableContents"/>
              <w:bidi w:val="0"/>
              <w:spacing w:before="0" w:after="283"/>
              <w:jc w:val="start"/>
              <w:rPr/>
            </w:pPr>
            <w:r>
              <w:rPr/>
              <w:t xml:space="preserve">Polarizability: </w:t>
            </w:r>
          </w:p>
        </w:tc>
        <w:tc>
          <w:tcPr>
            <w:tcW w:w="1010" w:type="dxa"/>
            <w:tcBorders/>
            <w:vAlign w:val="center"/>
          </w:tcPr>
          <w:p>
            <w:pPr>
              <w:pStyle w:val="TableContents"/>
              <w:bidi w:val="0"/>
              <w:spacing w:before="0" w:after="283"/>
              <w:jc w:val="start"/>
              <w:rPr>
                <w:sz w:val="4"/>
                <w:szCs w:val="4"/>
              </w:rPr>
            </w:pPr>
            <w:r>
              <w:rPr>
                <w:sz w:val="4"/>
                <w:szCs w:val="4"/>
              </w:rPr>
            </w:r>
          </w:p>
        </w:tc>
      </w:tr>
      <w:tr>
        <w:trPr/>
        <w:tc>
          <w:tcPr>
            <w:tcW w:w="3258" w:type="dxa"/>
            <w:tcBorders/>
            <w:vAlign w:val="center"/>
          </w:tcPr>
          <w:p>
            <w:pPr>
              <w:pStyle w:val="TableContents"/>
              <w:bidi w:val="0"/>
              <w:spacing w:before="0" w:after="283"/>
              <w:jc w:val="start"/>
              <w:rPr/>
            </w:pPr>
            <w:r>
              <w:rPr/>
              <w:t xml:space="preserve">Surface Tension: </w:t>
            </w:r>
          </w:p>
        </w:tc>
        <w:tc>
          <w:tcPr>
            <w:tcW w:w="1010" w:type="dxa"/>
            <w:tcBorders/>
            <w:vAlign w:val="center"/>
          </w:tcPr>
          <w:p>
            <w:pPr>
              <w:pStyle w:val="TableContents"/>
              <w:bidi w:val="0"/>
              <w:spacing w:before="0" w:after="283"/>
              <w:jc w:val="start"/>
              <w:rPr>
                <w:sz w:val="4"/>
                <w:szCs w:val="4"/>
              </w:rPr>
            </w:pPr>
            <w:r>
              <w:rPr>
                <w:sz w:val="4"/>
                <w:szCs w:val="4"/>
              </w:rPr>
            </w:r>
          </w:p>
        </w:tc>
      </w:tr>
      <w:tr>
        <w:trPr/>
        <w:tc>
          <w:tcPr>
            <w:tcW w:w="3258" w:type="dxa"/>
            <w:tcBorders/>
            <w:vAlign w:val="center"/>
          </w:tcPr>
          <w:p>
            <w:pPr>
              <w:pStyle w:val="TableContents"/>
              <w:bidi w:val="0"/>
              <w:spacing w:before="0" w:after="283"/>
              <w:jc w:val="start"/>
              <w:rPr/>
            </w:pPr>
            <w:r>
              <w:rPr/>
              <w:t xml:space="preserve">Molar Volume: </w:t>
            </w:r>
          </w:p>
        </w:tc>
        <w:tc>
          <w:tcPr>
            <w:tcW w:w="1010"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Predicted data is generated using the US Environmental Protection Agency’s EPISuite™ </w:t>
      </w:r>
    </w:p>
    <w:p>
      <w:pPr>
        <w:pStyle w:val="PreformattedText"/>
        <w:bidi w:val="0"/>
        <w:spacing w:before="0" w:after="0"/>
        <w:jc w:val="start"/>
        <w:rPr/>
      </w:pPr>
      <w:r>
        <w:rPr/>
        <w:t xml:space="preserve">   </w:t>
      </w:r>
      <w:r>
        <w:rPr/>
        <w:t>Log Octanol-Water Partition Coef (SRC): Log Kow (KOWWIN v1. 67 estimate) = 0. 23Log Kow (Exper. database match) = -1. 38Exper. Ref: Hansch, C et al. (1995)Boiling Pt, Melting Pt, Vapor Pressure Estimations (MPBPWIN v1. 42): Boiling Pt (deg C): 473. 12 (Adapted Stein &amp; Brown method)Melting Pt (deg C): 173. 17 (Mean or Weighted MP)VP(mm Hg, 25 deg C): 35. 2 (Mean VP of Antoine &amp; Grain methods)MP (exp database): 3. 81 deg CBP (exp database): 101. 42 deg CVP (exp database): 2. 06E+01 mm Hg at 25 deg CWater Solubility Estimate from Log Kow (WSKOW v1. 41): Water Solubility at 25 deg C (mg/L): 1e+006log Kow used: -1. 38 (expkow database)no-melting pt equation usedWater Sol (Exper. database match) = 4. 82e+005 mg/L (24 deg C)Exper. Ref: DEAN, JA (1985)Water Sol (Exper. database match) = 3740 mg/L (21 deg C)Exper. Ref: VANABLE, CS &amp; FUWA, T (1922)Water Sol Estimate from Fragments: Wat Sol (v1. 01 est) = 60488 mg/LWat Sol (Exper. database match) = 482000. 00Exper. Ref: DEAN, JA (1985)Wat Sol (Exper. database match) = 3740. 00Exper. Ref: VANABLE, CS &amp; FUWA, T (1922)ECOSAR Class Program (ECOSAR v0. 99h): Class(es) found: Neutral OrganicsHenrys Law Constant (25 deg C) [HENRYWIN v3. 10]: Bond Method : 8. 69E-003 atm-m3/moleGroup Method: IncompleteHenrys LC [VP/WSol estimate using EPI values]: 1. 578E-006 atm-m3/moleLog Octanol-Air Partition Coefficient (25 deg C) [KOAWIN v1. 10]: Log Kow used: -1. 38 (exp database)Log Kaw used: -0. 449 (HenryWin est)Log Koa (KOAWIN v1. 10 estimate): -0. 931Log Koa (experimental database): NoneProbability of Rapid Biodegradation (BIOWIN v4. 10): Biowin1 (Linear Model) : 0. 7313Biowin2 (Non-Linear Model) : 0. 9259Expert Survey Biodegradation Results: Biowin3 (Ultimate Survey Model): 3. 1239 (weeks )Biowin4 (Primary Survey Model) : 3. 7986 (days )MITI Biodegradation Probability: Biowin5 (MITI Linear Model) : 0. 6108Biowin6 (MITI Non-Linear Model): 0. 8237Anaerobic Biodegradation Probability: Biowin7 (Anaerobic Linear Model): 0. 8361Ready Biodegradability Prediction: YESHydrocarbon Biodegradation (BioHCwin v1. 01): Structure incompatible with current estimation method! Sorption to aerosols (25 Dec C)[AEROWIN v1. 00]: Vapor pressure (liquid/subcooled): 2. 75E+003 Pa (20. 6 mm Hg)Log Koa (Koawin est ): -0. 931Kp (particle/gas partition coef. (m3/ug)): Mackay model : 1. 09E-009 Octanol/air (Koa) model: 2. 88E-014 Fraction sorbed to airborne particulates (phi): Junge-Pankow model : 3. 95E-008 Mackay model : 8. 74E-008 Octanol/air (Koa) model: 2. 3E-012 Atmospheric Oxidation (25 deg C) [AopWin v1. 92]: Hydroxyl Radicals Reaction: OVERALL OH Rate Constant = 0. 0000 E-12 cm3/molecule-secHalf-Life = -------Ozone Reaction: No Ozone Reaction EstimationFraction sorbed to airborne particulates (phi): 6. 34E-008 (Junge, Mackay)Note: the sorbed fraction may be resistant to atmospheric oxidationSoil Adsorption Coefficient (PCKOCWIN v1. 66): Koc : 14. 3Log Koc: 1. 155 Aqueous Base/Acid-Catalyzed Hydrolysis (25 deg C) [HYDROWIN v1. 67]: Rate constants can NOT be estimated for this structure! Bioaccumulation Estimates from Log Kow (BCFWIN v2. 17): Log BCF from regression-based method = 0. 500 (BCF = 3. 162)log Kow used: -1. 38 (expkow database)Volatilization from Water: Henry LC: 0. 00869 atm-m3/mole (estimated by Bond SAR Method)Half-Life from Model River: 0. 635 hours (38. 10 min)Half-Life from Model Lake : 55. 88 hours (2. 328 days)Removal In Wastewater Treatment: Total removal: 77. 40 percentTotal biodegradation: 0. 03 percentTotal sludge adsorption: 0. 59 percentTotal to Air: 76. 77 percent(using 10000 hr Bio P, A, S)Level III Fugacity Model: Mass Amount Half-Life Emissions(percent) (hr) (kg/hr)Air 55 1e+005 1000 Water 42. 6 360 1000 Soil 2. 33 720 1000 Sediment 0. 0779 3. 24e+003 0 Persistence Time: 148 hr</w:t>
      </w:r>
    </w:p>
    <w:p>
      <w:pPr>
        <w:pStyle w:val="PreformattedText"/>
        <w:bidi w:val="0"/>
        <w:spacing w:before="0" w:after="283"/>
        <w:jc w:val="start"/>
        <w:rPr/>
      </w:pPr>
      <w:r>
        <w:rPr/>
        <w:t xml:space="preserve">  </w:t>
      </w:r>
    </w:p>
    <w:p>
      <w:pPr>
        <w:pStyle w:val="TextBody"/>
        <w:bidi w:val="0"/>
        <w:spacing w:before="0" w:after="283"/>
        <w:jc w:val="start"/>
        <w:rPr/>
      </w:pPr>
      <w:r>
        <w:rPr/>
        <w:t xml:space="preserve">Click to predict properties on the Chemicalize 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https://assignbuster.com/hydrogen-sulfide-h2s-structure/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Hydrogen sulfide h2s structure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PreformattedText">
    <w:name w:val="Preformatted Text"/>
    <w:basedOn w:val="Normal"/>
    <w:qFormat/>
    <w:pPr>
      <w:spacing w:before="0" w:after="0"/>
    </w:pPr>
    <w:rPr>
      <w:rFonts w:ascii="Courier New" w:hAnsi="Courier New" w:eastAsia="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drogen-sulfide-h2s-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Hydrogen sulfide h2s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Hydrogen sulfide h2s structure</dc:title>
  <dc:subject>Others;</dc:subject>
  <dc:creator>AssignBuster</dc:creator>
  <cp:keywords/>
  <dc:description>0 C at 760 mmHg Flash Point Molar Refractivity Polarizability Surface Tension Molar Volume Experimental data Predicted ACDLabs Predicted EPISuite Pre...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