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Xrcc1 polymorphism and systemic lupus erythematosus</w:t>
        </w:r>
      </w:hyperlink>
      <w:bookmarkEnd w:id="0"/>
    </w:p>
    <w:p>
      <w:r>
        <w:br w:type="page"/>
      </w:r>
    </w:p>
    <w:p>
      <w:pPr>
        <w:pStyle w:val="TextBody"/>
        <w:bidi w:val="0"/>
        <w:jc w:val="start"/>
        <w:rPr/>
      </w:pPr>
      <w:r>
        <w:rPr/>
        <w:t xml:space="preserve">XRCC1 Arg399Gln and Arg194Try Gene Polymorphismsand the Risk of Systemic Lupus Erythematosus in Iranian population (a pilot study) </w:t>
      </w:r>
    </w:p>
    <w:p>
      <w:pPr>
        <w:pStyle w:val="TextBody"/>
        <w:numPr>
          <w:ilvl w:val="0"/>
          <w:numId w:val="1"/>
        </w:numPr>
        <w:tabs>
          <w:tab w:val="clear" w:pos="1134"/>
          <w:tab w:val="left" w:pos="709" w:leader="none"/>
        </w:tabs>
        <w:bidi w:val="0"/>
        <w:ind w:start="709" w:hanging="283"/>
        <w:jc w:val="start"/>
        <w:rPr/>
      </w:pPr>
      <w:r>
        <w:rPr/>
        <w:t xml:space="preserve">Saeedeh Salimi, Milad Mohammadoo-khorasani, Ehsan Tabatabai, Mahnaz Sandoughi, Zahra Zakeri </w:t>
      </w:r>
    </w:p>
    <w:p>
      <w:pPr>
        <w:pStyle w:val="TextBody"/>
        <w:bidi w:val="0"/>
        <w:jc w:val="start"/>
        <w:rPr/>
      </w:pPr>
      <w:r>
        <w:rPr/>
        <w:t xml:space="preserve">Corresponding Author: Milad Mohammadoo-khorasani </w:t>
      </w:r>
    </w:p>
    <w:p>
      <w:pPr>
        <w:pStyle w:val="TextBody"/>
        <w:bidi w:val="0"/>
        <w:spacing w:before="0" w:after="283"/>
        <w:jc w:val="start"/>
        <w:rPr/>
      </w:pPr>
      <w:r>
        <w:rPr>
          <w:rStyle w:val="Emphasis"/>
        </w:rPr>
        <w:t xml:space="preserve">Background &amp; objectives </w:t>
      </w:r>
      <w:r>
        <w:rPr/>
        <w:t xml:space="preserve">: Systemic Lupus Erythematosus (SLE) is an autoimmune multisystem disease that both genetic and environmental factors are effective in predisposing to SLE. DNA repair enzymes ceaselessly checked the chromosomes to correct damaged nucleotide produced by methylation, oxidation or oxidative damage. The human XRCC1 gene is important for DNA repair. XRCC1 is located on chromosome 19q13. 2–13. 3 with 33 kb in length and 17 exons. In this study, we examined two polymorphisms in XRCC1 gene (Arg399Gln and Arg194Trp). </w:t>
      </w:r>
    </w:p>
    <w:p>
      <w:pPr>
        <w:pStyle w:val="TextBody"/>
        <w:bidi w:val="0"/>
        <w:spacing w:before="0" w:after="283"/>
        <w:jc w:val="start"/>
        <w:rPr/>
      </w:pPr>
      <w:r>
        <w:rPr>
          <w:rStyle w:val="Emphasis"/>
        </w:rPr>
        <w:t xml:space="preserve">Methods: </w:t>
      </w:r>
      <w:r>
        <w:rPr/>
        <w:t xml:space="preserve">163 SLE patients and 180 healthy controls were genotyped for the XRCC1 Arg399Gln and Arg194Trp polymorphisms by PCR-restriction fragment length polymorphism method. </w:t>
      </w:r>
    </w:p>
    <w:p>
      <w:pPr>
        <w:pStyle w:val="TextBody"/>
        <w:bidi w:val="0"/>
        <w:spacing w:before="0" w:after="283"/>
        <w:jc w:val="start"/>
        <w:rPr/>
      </w:pPr>
      <w:r>
        <w:rPr>
          <w:rStyle w:val="Emphasis"/>
        </w:rPr>
        <w:t xml:space="preserve">Results: </w:t>
      </w:r>
      <w:r>
        <w:rPr/>
        <w:t xml:space="preserve">The frequencies of AA and AG genotypes of the XRCC1 Arg399Gln polymorphism were significantly lower in SLE patients than controls. No significant association observed between XRCC1 Arg194Trp polymorphism and increased risk of SLE in studied population. Furthermore, the haplotype analysis revealed that the rs25484A – rs1799782T are a risk factor for SLE. </w:t>
      </w:r>
    </w:p>
    <w:p>
      <w:pPr>
        <w:pStyle w:val="TextBody"/>
        <w:bidi w:val="0"/>
        <w:spacing w:before="0" w:after="283"/>
        <w:jc w:val="start"/>
        <w:rPr/>
      </w:pPr>
      <w:r>
        <w:rPr>
          <w:rStyle w:val="Emphasis"/>
        </w:rPr>
        <w:t xml:space="preserve">Interpretation &amp; conclusions : </w:t>
      </w:r>
      <w:r>
        <w:rPr/>
        <w:t xml:space="preserve">These findings suggest that XRCC1 Arg399Gln polymorphism may contribute to SLE pathogenesis but XRCC1 Arg194Trp polymorphism may not result in SLE. </w:t>
      </w:r>
    </w:p>
    <w:p>
      <w:pPr>
        <w:pStyle w:val="TextBody"/>
        <w:bidi w:val="0"/>
        <w:spacing w:before="0" w:after="283"/>
        <w:jc w:val="start"/>
        <w:rPr/>
      </w:pPr>
      <w:r>
        <w:rPr/>
        <w:t xml:space="preserve">Key Words: Systemic Lupus Erythematosus , XRCC1 </w:t>
      </w:r>
    </w:p>
    <w:p>
      <w:pPr>
        <w:pStyle w:val="TextBody"/>
        <w:bidi w:val="0"/>
        <w:spacing w:before="0" w:after="283"/>
        <w:jc w:val="start"/>
        <w:rPr/>
      </w:pPr>
      <w:r>
        <w:rPr/>
        <w:t xml:space="preserve">Introduction </w:t>
      </w:r>
    </w:p>
    <w:p>
      <w:pPr>
        <w:pStyle w:val="TextBody"/>
        <w:bidi w:val="0"/>
        <w:spacing w:before="0" w:after="283"/>
        <w:jc w:val="start"/>
        <w:rPr/>
      </w:pPr>
      <w:r>
        <w:rPr/>
        <w:t xml:space="preserve">Systemic lupus erythematosus (SLE) is a multisystem disorder and human autoimmune disease, characterized principally by increasing of B-cells activity and auto-antibodies production against self-antigens (1, 2). SLE is ten folds more common in women (3). The pathogenesis of SLE remains elusive, although the etiology of the disease is supposed to involve genetic, hormonal and environmental factors (4). Diverse auto-antigens are considered as targets for auto-antibodies in SLE (5). Antigenicity may be increased by reactive oxygen species (ROS) and drugs, therefore changes DNA conformation, which results in DNA base damage and breaks (6). DNA repair enzymes ceaselessly checked the chromosomes to correct damaged nucleotide produced by methylation, oxidation or oxidative damage(7). Base excision repair (BER) and nucleotide excision repair (NER) are two pathways that repair most of the DNA damages including ROS(8). The X-ray repair cross-complementation group1 (XRCC1) is one of the most important protein that has the role in the BER pathway(9). XRCC1, a DNA repair protein , which is involved in single-strand breaks and BER pathway , suggested to be responsible for the effective repair of DNA damage caused by active oxygen, ionization, and alkylating agents.(10) The human XRCC1 gene is 33 kb in length, and located on chromosome 19q13. 2–13. 3 , that has 17 exons.(11). There are more than 300 validated single nucleotide polymorphisms (SNPs) in the XRCC1 gene reported in the dbSNP database (http://www. ncbi. nlm. nih. gov/SNP), three of which are common (12)and lead to amino acid replacement in XRCC1 at codon 194 (exon 6, base C to T, amino acid Arg to Trp, dbSNP no. rs1799782), codon 280 (exon 9, base G to A, amino acid Arg to His, dbSNP no. rs25489) and codon 399 (exon 10, base G to A, amino acid Arg to Gln, dbSNP no. rs25487). Although the functional effects of these polymorphisms in XRCC1 have not been understood, it is suggested that amino acid changes at preserved regions may alter its function (13). This change in protein biochemistry leads to the hypothesis that variant alleles may reduce kinetics repair, thereby result in SLE susceptibility.(14) </w:t>
      </w:r>
    </w:p>
    <w:p>
      <w:pPr>
        <w:pStyle w:val="TextBody"/>
        <w:bidi w:val="0"/>
        <w:spacing w:before="0" w:after="283"/>
        <w:jc w:val="start"/>
        <w:rPr/>
      </w:pPr>
      <w:r>
        <w:rPr/>
        <w:t xml:space="preserve">The aim of this study was to investigate the possible effects of XRCC1 polymorphisms on SLE risk in an Iranian population. </w:t>
      </w:r>
    </w:p>
    <w:p>
      <w:pPr>
        <w:pStyle w:val="TextBody"/>
        <w:bidi w:val="0"/>
        <w:spacing w:before="0" w:after="283"/>
        <w:jc w:val="start"/>
        <w:rPr/>
      </w:pPr>
      <w:r>
        <w:rPr/>
        <w:t xml:space="preserve">2. Materials and methods </w:t>
      </w:r>
    </w:p>
    <w:p>
      <w:pPr>
        <w:pStyle w:val="TextBody"/>
        <w:bidi w:val="0"/>
        <w:spacing w:before="0" w:after="283"/>
        <w:jc w:val="start"/>
        <w:rPr/>
      </w:pPr>
      <w:r>
        <w:rPr/>
        <w:t xml:space="preserve">Patients and sample collection </w:t>
      </w:r>
    </w:p>
    <w:p>
      <w:pPr>
        <w:pStyle w:val="TextBody"/>
        <w:bidi w:val="0"/>
        <w:spacing w:before="0" w:after="283"/>
        <w:jc w:val="start"/>
        <w:rPr/>
      </w:pPr>
      <w:r>
        <w:rPr/>
        <w:t xml:space="preserve">In this case- control study, we evaluated 163 patients affected with SLE who referred to rheumatology clinics in Zahedan city, since 2011 to 2013. They have been diagnosed with systemic lupus erythematosus according to ACR 1998 criteria (American Rheumatology Association). The control group consisted of 180 individuals. They matched from the viewpoint of age, sex and ethnic. Volunteers have negative ANA test and no systemic diseases and also no family relation with lupus patients. All participants provided written informed consent according to the Declaration of Helsinki. </w:t>
      </w:r>
    </w:p>
    <w:p>
      <w:pPr>
        <w:pStyle w:val="TextBody"/>
        <w:bidi w:val="0"/>
        <w:spacing w:before="0" w:after="283"/>
        <w:jc w:val="start"/>
        <w:rPr/>
      </w:pPr>
      <w:r>
        <w:rPr/>
        <w:t xml:space="preserve">Genomic DNA extraction and genotyping </w:t>
      </w:r>
    </w:p>
    <w:p>
      <w:pPr>
        <w:pStyle w:val="TextBody"/>
        <w:bidi w:val="0"/>
        <w:spacing w:before="0" w:after="283"/>
        <w:jc w:val="start"/>
        <w:rPr/>
      </w:pPr>
      <w:r>
        <w:rPr/>
        <w:t xml:space="preserve">Blood samples were collected in 2 ml Na-EDTA tubes from patients and healthy controls and genomic DNA was extracted by using salting out method. The quality and quantity of extracted DNA determined by spectrophotometer apparatus. Genotypes were detected using a polymerase chain reaction-restriction fragment length polymorphism (PCR–RFLP) and tetra-ARMS-PCR techniques. The PCR primer sequences and the condition of each primer is listed in Table 1 </w:t>
      </w:r>
    </w:p>
    <w:p>
      <w:pPr>
        <w:pStyle w:val="TextBody"/>
        <w:bidi w:val="0"/>
        <w:spacing w:before="0" w:after="283"/>
        <w:jc w:val="start"/>
        <w:rPr/>
      </w:pPr>
      <w:r>
        <w:rPr/>
        <w:t xml:space="preserve">Table 1. The PCR primer sequences </w:t>
      </w:r>
    </w:p>
    <w:tbl>
      <w:tblPr>
        <w:tblW w:w="12484" w:type="dxa"/>
        <w:jc w:val="start"/>
        <w:tblInd w:w="0" w:type="dxa"/>
        <w:tblLayout w:type="fixed"/>
        <w:tblCellMar>
          <w:top w:w="28" w:type="dxa"/>
          <w:start w:w="28" w:type="dxa"/>
          <w:bottom w:w="28" w:type="dxa"/>
          <w:end w:w="28" w:type="dxa"/>
        </w:tblCellMar>
      </w:tblPr>
      <w:tblGrid>
        <w:gridCol w:w="3901"/>
        <w:gridCol w:w="3991"/>
        <w:gridCol w:w="4201"/>
        <w:gridCol w:w="391"/>
      </w:tblGrid>
      <w:tr>
        <w:trPr/>
        <w:tc>
          <w:tcPr>
            <w:tcW w:w="3901" w:type="dxa"/>
            <w:tcBorders/>
            <w:vAlign w:val="center"/>
          </w:tcPr>
          <w:p>
            <w:pPr>
              <w:pStyle w:val="TableContents"/>
              <w:bidi w:val="0"/>
              <w:spacing w:before="0" w:after="283"/>
              <w:jc w:val="start"/>
              <w:rPr/>
            </w:pPr>
            <w:r>
              <w:rPr/>
              <w:t xml:space="preserve">Polymorphisms </w:t>
            </w:r>
          </w:p>
        </w:tc>
        <w:tc>
          <w:tcPr>
            <w:tcW w:w="3991" w:type="dxa"/>
            <w:tcBorders/>
            <w:vAlign w:val="center"/>
          </w:tcPr>
          <w:p>
            <w:pPr>
              <w:pStyle w:val="TableContents"/>
              <w:bidi w:val="0"/>
              <w:spacing w:before="0" w:after="283"/>
              <w:jc w:val="start"/>
              <w:rPr/>
            </w:pPr>
            <w:r>
              <w:rPr/>
              <w:t xml:space="preserve">Primer sequences(RFLP) </w:t>
            </w:r>
          </w:p>
        </w:tc>
        <w:tc>
          <w:tcPr>
            <w:tcW w:w="4201" w:type="dxa"/>
            <w:tcBorders/>
            <w:vAlign w:val="center"/>
          </w:tcPr>
          <w:p>
            <w:pPr>
              <w:pStyle w:val="TableContents"/>
              <w:bidi w:val="0"/>
              <w:spacing w:before="0" w:after="283"/>
              <w:jc w:val="start"/>
              <w:rPr/>
            </w:pPr>
            <w:r>
              <w:rPr/>
              <w:t xml:space="preserve">Tm(C </w:t>
            </w:r>
            <w:r>
              <w:rPr>
                <w:position w:val="8"/>
                <w:sz w:val="19"/>
              </w:rPr>
              <w:t xml:space="preserve">Ëš </w:t>
            </w:r>
            <w:r>
              <w:rPr/>
              <w:t xml:space="preserve">) </w:t>
            </w:r>
          </w:p>
        </w:tc>
        <w:tc>
          <w:tcPr>
            <w:tcW w:w="391" w:type="dxa"/>
            <w:tcBorders/>
          </w:tcPr>
          <w:p>
            <w:pPr>
              <w:pStyle w:val="TableContents"/>
              <w:bidi w:val="0"/>
              <w:spacing w:before="0" w:after="283"/>
              <w:jc w:val="start"/>
              <w:rPr>
                <w:sz w:val="4"/>
                <w:szCs w:val="4"/>
              </w:rPr>
            </w:pPr>
            <w:r>
              <w:rPr>
                <w:sz w:val="4"/>
                <w:szCs w:val="4"/>
              </w:rPr>
            </w:r>
          </w:p>
        </w:tc>
      </w:tr>
      <w:tr>
        <w:trPr/>
        <w:tc>
          <w:tcPr>
            <w:tcW w:w="3901" w:type="dxa"/>
            <w:tcBorders/>
            <w:vAlign w:val="center"/>
          </w:tcPr>
          <w:p>
            <w:pPr>
              <w:pStyle w:val="TableContents"/>
              <w:bidi w:val="0"/>
              <w:spacing w:before="0" w:after="283"/>
              <w:jc w:val="start"/>
              <w:rPr/>
            </w:pPr>
            <w:r>
              <w:rPr/>
              <w:t xml:space="preserve">rs1799782 </w:t>
            </w:r>
          </w:p>
        </w:tc>
        <w:tc>
          <w:tcPr>
            <w:tcW w:w="3991" w:type="dxa"/>
            <w:tcBorders/>
            <w:vAlign w:val="center"/>
          </w:tcPr>
          <w:p>
            <w:pPr>
              <w:pStyle w:val="TableContents"/>
              <w:bidi w:val="0"/>
              <w:spacing w:before="0" w:after="283"/>
              <w:jc w:val="start"/>
              <w:rPr/>
            </w:pPr>
            <w:r>
              <w:rPr/>
              <w:t xml:space="preserve">F: 5’GCCAGGGCCCCTCCTTCAA- 3′ </w:t>
            </w:r>
          </w:p>
        </w:tc>
        <w:tc>
          <w:tcPr>
            <w:tcW w:w="4201" w:type="dxa"/>
            <w:tcBorders/>
            <w:vAlign w:val="center"/>
          </w:tcPr>
          <w:p>
            <w:pPr>
              <w:pStyle w:val="TableContents"/>
              <w:bidi w:val="0"/>
              <w:spacing w:before="0" w:after="283"/>
              <w:jc w:val="start"/>
              <w:rPr/>
            </w:pPr>
            <w:r>
              <w:rPr/>
              <w:t xml:space="preserve">60 </w:t>
            </w:r>
          </w:p>
        </w:tc>
        <w:tc>
          <w:tcPr>
            <w:tcW w:w="391" w:type="dxa"/>
            <w:tcBorders/>
          </w:tcPr>
          <w:p>
            <w:pPr>
              <w:pStyle w:val="TableContents"/>
              <w:bidi w:val="0"/>
              <w:spacing w:before="0" w:after="283"/>
              <w:jc w:val="start"/>
              <w:rPr>
                <w:sz w:val="4"/>
                <w:szCs w:val="4"/>
              </w:rPr>
            </w:pPr>
            <w:r>
              <w:rPr>
                <w:sz w:val="4"/>
                <w:szCs w:val="4"/>
              </w:rPr>
            </w:r>
          </w:p>
        </w:tc>
      </w:tr>
      <w:tr>
        <w:trPr/>
        <w:tc>
          <w:tcPr>
            <w:tcW w:w="3901" w:type="dxa"/>
            <w:tcBorders/>
            <w:vAlign w:val="center"/>
          </w:tcPr>
          <w:p>
            <w:pPr>
              <w:pStyle w:val="TableContents"/>
              <w:bidi w:val="0"/>
              <w:spacing w:before="0" w:after="283"/>
              <w:jc w:val="start"/>
              <w:rPr/>
            </w:pPr>
            <w:r>
              <w:rPr/>
              <w:t xml:space="preserve">R: 5’TACCCTCAGACCCACGAGT- 3′ </w:t>
            </w:r>
          </w:p>
        </w:tc>
        <w:tc>
          <w:tcPr>
            <w:tcW w:w="8192" w:type="dxa"/>
            <w:gridSpan w:val="2"/>
            <w:tcBorders/>
          </w:tcPr>
          <w:p>
            <w:pPr>
              <w:pStyle w:val="TableContents"/>
              <w:bidi w:val="0"/>
              <w:spacing w:before="0" w:after="283"/>
              <w:jc w:val="start"/>
              <w:rPr>
                <w:sz w:val="4"/>
                <w:szCs w:val="4"/>
              </w:rPr>
            </w:pPr>
            <w:r>
              <w:rPr>
                <w:sz w:val="4"/>
                <w:szCs w:val="4"/>
              </w:rPr>
            </w:r>
          </w:p>
        </w:tc>
        <w:tc>
          <w:tcPr>
            <w:tcW w:w="391" w:type="dxa"/>
            <w:tcBorders/>
          </w:tcPr>
          <w:p>
            <w:pPr>
              <w:pStyle w:val="TableContents"/>
              <w:bidi w:val="0"/>
              <w:spacing w:before="0" w:after="283"/>
              <w:jc w:val="start"/>
              <w:rPr>
                <w:sz w:val="4"/>
                <w:szCs w:val="4"/>
              </w:rPr>
            </w:pPr>
            <w:r>
              <w:rPr>
                <w:sz w:val="4"/>
                <w:szCs w:val="4"/>
              </w:rPr>
            </w:r>
          </w:p>
        </w:tc>
      </w:tr>
      <w:tr>
        <w:trPr/>
        <w:tc>
          <w:tcPr>
            <w:tcW w:w="3901" w:type="dxa"/>
            <w:tcBorders/>
            <w:vAlign w:val="center"/>
          </w:tcPr>
          <w:p>
            <w:pPr>
              <w:pStyle w:val="TableContents"/>
              <w:bidi w:val="0"/>
              <w:spacing w:before="0" w:after="283"/>
              <w:jc w:val="start"/>
              <w:rPr/>
            </w:pPr>
            <w:r>
              <w:rPr/>
              <w:t xml:space="preserve">rs25487 </w:t>
            </w:r>
          </w:p>
        </w:tc>
        <w:tc>
          <w:tcPr>
            <w:tcW w:w="3991" w:type="dxa"/>
            <w:tcBorders/>
            <w:vAlign w:val="center"/>
          </w:tcPr>
          <w:p>
            <w:pPr>
              <w:pStyle w:val="TableContents"/>
              <w:bidi w:val="0"/>
              <w:spacing w:before="0" w:after="283"/>
              <w:jc w:val="start"/>
              <w:rPr/>
            </w:pPr>
            <w:r>
              <w:rPr/>
              <w:t xml:space="preserve">F: 5′-GGACTGTCACCGCATGCGTCGG- 3′ </w:t>
            </w:r>
          </w:p>
        </w:tc>
        <w:tc>
          <w:tcPr>
            <w:tcW w:w="4201" w:type="dxa"/>
            <w:tcBorders/>
            <w:vAlign w:val="center"/>
          </w:tcPr>
          <w:p>
            <w:pPr>
              <w:pStyle w:val="TableContents"/>
              <w:bidi w:val="0"/>
              <w:spacing w:before="0" w:after="283"/>
              <w:jc w:val="start"/>
              <w:rPr/>
            </w:pPr>
            <w:r>
              <w:rPr/>
              <w:t xml:space="preserve">60 </w:t>
            </w:r>
          </w:p>
        </w:tc>
        <w:tc>
          <w:tcPr>
            <w:tcW w:w="391" w:type="dxa"/>
            <w:tcBorders/>
          </w:tcPr>
          <w:p>
            <w:pPr>
              <w:pStyle w:val="TableContents"/>
              <w:bidi w:val="0"/>
              <w:spacing w:before="0" w:after="283"/>
              <w:jc w:val="start"/>
              <w:rPr>
                <w:sz w:val="4"/>
                <w:szCs w:val="4"/>
              </w:rPr>
            </w:pPr>
            <w:r>
              <w:rPr>
                <w:sz w:val="4"/>
                <w:szCs w:val="4"/>
              </w:rPr>
            </w:r>
          </w:p>
        </w:tc>
      </w:tr>
      <w:tr>
        <w:trPr/>
        <w:tc>
          <w:tcPr>
            <w:tcW w:w="3901" w:type="dxa"/>
            <w:tcBorders/>
            <w:vAlign w:val="center"/>
          </w:tcPr>
          <w:p>
            <w:pPr>
              <w:pStyle w:val="TableContents"/>
              <w:bidi w:val="0"/>
              <w:spacing w:before="0" w:after="283"/>
              <w:jc w:val="start"/>
              <w:rPr/>
            </w:pPr>
            <w:r>
              <w:rPr/>
              <w:t xml:space="preserve">R: 5′-GGCTGGGACCACC TGTGTT- 3 </w:t>
            </w:r>
          </w:p>
        </w:tc>
        <w:tc>
          <w:tcPr>
            <w:tcW w:w="8192" w:type="dxa"/>
            <w:gridSpan w:val="2"/>
            <w:tcBorders/>
          </w:tcPr>
          <w:p>
            <w:pPr>
              <w:pStyle w:val="TableContents"/>
              <w:bidi w:val="0"/>
              <w:spacing w:before="0" w:after="283"/>
              <w:jc w:val="start"/>
              <w:rPr>
                <w:sz w:val="4"/>
                <w:szCs w:val="4"/>
              </w:rPr>
            </w:pPr>
            <w:r>
              <w:rPr>
                <w:sz w:val="4"/>
                <w:szCs w:val="4"/>
              </w:rPr>
            </w:r>
          </w:p>
        </w:tc>
        <w:tc>
          <w:tcPr>
            <w:tcW w:w="391" w:type="dxa"/>
            <w:tcBorders/>
          </w:tcPr>
          <w:p>
            <w:pPr>
              <w:pStyle w:val="TableContents"/>
              <w:bidi w:val="0"/>
              <w:spacing w:before="0" w:after="283"/>
              <w:jc w:val="start"/>
              <w:rPr>
                <w:sz w:val="4"/>
                <w:szCs w:val="4"/>
              </w:rPr>
            </w:pPr>
            <w:r>
              <w:rPr>
                <w:sz w:val="4"/>
                <w:szCs w:val="4"/>
              </w:rPr>
            </w:r>
          </w:p>
        </w:tc>
      </w:tr>
      <w:tr>
        <w:trPr/>
        <w:tc>
          <w:tcPr>
            <w:tcW w:w="3901" w:type="dxa"/>
            <w:tcBorders/>
            <w:vAlign w:val="center"/>
          </w:tcPr>
          <w:p>
            <w:pPr>
              <w:pStyle w:val="TableContents"/>
              <w:bidi w:val="0"/>
              <w:spacing w:before="0" w:after="283"/>
              <w:jc w:val="start"/>
              <w:rPr>
                <w:sz w:val="4"/>
                <w:szCs w:val="4"/>
              </w:rPr>
            </w:pPr>
            <w:r>
              <w:rPr>
                <w:sz w:val="4"/>
                <w:szCs w:val="4"/>
              </w:rPr>
            </w:r>
          </w:p>
        </w:tc>
        <w:tc>
          <w:tcPr>
            <w:tcW w:w="3991" w:type="dxa"/>
            <w:tcBorders/>
            <w:vAlign w:val="center"/>
          </w:tcPr>
          <w:p>
            <w:pPr>
              <w:pStyle w:val="TableContents"/>
              <w:bidi w:val="0"/>
              <w:spacing w:before="0" w:after="283"/>
              <w:jc w:val="start"/>
              <w:rPr/>
            </w:pPr>
            <w:r>
              <w:rPr/>
              <w:t xml:space="preserve">Primer sequences (tetra-ARMS) </w:t>
            </w:r>
          </w:p>
        </w:tc>
        <w:tc>
          <w:tcPr>
            <w:tcW w:w="4201" w:type="dxa"/>
            <w:tcBorders/>
            <w:vAlign w:val="center"/>
          </w:tcPr>
          <w:p>
            <w:pPr>
              <w:pStyle w:val="TableContents"/>
              <w:bidi w:val="0"/>
              <w:spacing w:before="0" w:after="283"/>
              <w:jc w:val="start"/>
              <w:rPr>
                <w:sz w:val="4"/>
                <w:szCs w:val="4"/>
              </w:rPr>
            </w:pPr>
            <w:r>
              <w:rPr>
                <w:sz w:val="4"/>
                <w:szCs w:val="4"/>
              </w:rPr>
            </w:r>
          </w:p>
        </w:tc>
        <w:tc>
          <w:tcPr>
            <w:tcW w:w="391" w:type="dxa"/>
            <w:tcBorders/>
          </w:tcPr>
          <w:p>
            <w:pPr>
              <w:pStyle w:val="TableContents"/>
              <w:bidi w:val="0"/>
              <w:spacing w:before="0" w:after="283"/>
              <w:jc w:val="start"/>
              <w:rPr>
                <w:sz w:val="4"/>
                <w:szCs w:val="4"/>
              </w:rPr>
            </w:pPr>
            <w:r>
              <w:rPr>
                <w:sz w:val="4"/>
                <w:szCs w:val="4"/>
              </w:rPr>
            </w:r>
          </w:p>
        </w:tc>
      </w:tr>
      <w:tr>
        <w:trPr/>
        <w:tc>
          <w:tcPr>
            <w:tcW w:w="3901" w:type="dxa"/>
            <w:tcBorders/>
            <w:vAlign w:val="center"/>
          </w:tcPr>
          <w:p>
            <w:pPr>
              <w:pStyle w:val="TableContents"/>
              <w:bidi w:val="0"/>
              <w:spacing w:before="0" w:after="283"/>
              <w:jc w:val="start"/>
              <w:rPr/>
            </w:pPr>
            <w:r>
              <w:rPr/>
              <w:t xml:space="preserve">rs1799782 </w:t>
            </w:r>
          </w:p>
        </w:tc>
        <w:tc>
          <w:tcPr>
            <w:tcW w:w="3991" w:type="dxa"/>
            <w:tcBorders/>
            <w:vAlign w:val="center"/>
          </w:tcPr>
          <w:p>
            <w:pPr>
              <w:pStyle w:val="TableContents"/>
              <w:bidi w:val="0"/>
              <w:spacing w:before="0" w:after="283"/>
              <w:jc w:val="start"/>
              <w:rPr/>
            </w:pPr>
            <w:r>
              <w:rPr/>
              <w:t xml:space="preserve">outer </w:t>
            </w:r>
          </w:p>
        </w:tc>
        <w:tc>
          <w:tcPr>
            <w:tcW w:w="4201" w:type="dxa"/>
            <w:tcBorders/>
            <w:vAlign w:val="center"/>
          </w:tcPr>
          <w:p>
            <w:pPr>
              <w:pStyle w:val="TableContents"/>
              <w:bidi w:val="0"/>
              <w:spacing w:before="0" w:after="283"/>
              <w:jc w:val="start"/>
              <w:rPr/>
            </w:pPr>
            <w:r>
              <w:rPr/>
              <w:t xml:space="preserve">F: 5′-CGTCCCAGGTAAGCTGTAC-3 </w:t>
            </w:r>
          </w:p>
        </w:tc>
        <w:tc>
          <w:tcPr>
            <w:tcW w:w="391" w:type="dxa"/>
            <w:tcBorders/>
            <w:vAlign w:val="center"/>
          </w:tcPr>
          <w:p>
            <w:pPr>
              <w:pStyle w:val="TableContents"/>
              <w:bidi w:val="0"/>
              <w:spacing w:before="0" w:after="283"/>
              <w:jc w:val="start"/>
              <w:rPr/>
            </w:pPr>
            <w:r>
              <w:rPr/>
              <w:t xml:space="preserve">63 </w:t>
            </w:r>
          </w:p>
        </w:tc>
      </w:tr>
      <w:tr>
        <w:trPr/>
        <w:tc>
          <w:tcPr>
            <w:tcW w:w="3901" w:type="dxa"/>
            <w:tcBorders/>
            <w:vAlign w:val="center"/>
          </w:tcPr>
          <w:p>
            <w:pPr>
              <w:pStyle w:val="TableContents"/>
              <w:bidi w:val="0"/>
              <w:spacing w:before="0" w:after="283"/>
              <w:jc w:val="start"/>
              <w:rPr/>
            </w:pPr>
            <w:r>
              <w:rPr/>
              <w:t xml:space="preserve">R: 5 CACTCCTATCTATGGGACACAG-3 </w:t>
            </w:r>
          </w:p>
        </w:tc>
        <w:tc>
          <w:tcPr>
            <w:tcW w:w="8583" w:type="dxa"/>
            <w:gridSpan w:val="3"/>
            <w:tcBorders/>
          </w:tcPr>
          <w:p>
            <w:pPr>
              <w:pStyle w:val="TableContents"/>
              <w:bidi w:val="0"/>
              <w:spacing w:before="0" w:after="283"/>
              <w:jc w:val="start"/>
              <w:rPr>
                <w:sz w:val="4"/>
                <w:szCs w:val="4"/>
              </w:rPr>
            </w:pPr>
            <w:r>
              <w:rPr>
                <w:sz w:val="4"/>
                <w:szCs w:val="4"/>
              </w:rPr>
            </w:r>
          </w:p>
        </w:tc>
      </w:tr>
      <w:tr>
        <w:trPr/>
        <w:tc>
          <w:tcPr>
            <w:tcW w:w="3901" w:type="dxa"/>
            <w:tcBorders/>
            <w:vAlign w:val="center"/>
          </w:tcPr>
          <w:p>
            <w:pPr>
              <w:pStyle w:val="TableContents"/>
              <w:bidi w:val="0"/>
              <w:spacing w:before="0" w:after="283"/>
              <w:jc w:val="start"/>
              <w:rPr>
                <w:sz w:val="4"/>
                <w:szCs w:val="4"/>
              </w:rPr>
            </w:pPr>
            <w:r>
              <w:rPr>
                <w:sz w:val="4"/>
                <w:szCs w:val="4"/>
              </w:rPr>
            </w:r>
          </w:p>
        </w:tc>
        <w:tc>
          <w:tcPr>
            <w:tcW w:w="3991" w:type="dxa"/>
            <w:tcBorders/>
            <w:vAlign w:val="center"/>
          </w:tcPr>
          <w:p>
            <w:pPr>
              <w:pStyle w:val="TableContents"/>
              <w:bidi w:val="0"/>
              <w:spacing w:before="0" w:after="283"/>
              <w:jc w:val="start"/>
              <w:rPr/>
            </w:pPr>
            <w:r>
              <w:rPr/>
              <w:t xml:space="preserve">inner </w:t>
            </w:r>
          </w:p>
        </w:tc>
        <w:tc>
          <w:tcPr>
            <w:tcW w:w="4201" w:type="dxa"/>
            <w:tcBorders/>
            <w:vAlign w:val="center"/>
          </w:tcPr>
          <w:p>
            <w:pPr>
              <w:pStyle w:val="TableContents"/>
              <w:bidi w:val="0"/>
              <w:spacing w:before="0" w:after="283"/>
              <w:jc w:val="start"/>
              <w:rPr/>
            </w:pPr>
            <w:r>
              <w:rPr/>
              <w:t xml:space="preserve">F: 5- CGGGGGCTCTCTTCTTCATCC-3 </w:t>
            </w:r>
          </w:p>
        </w:tc>
        <w:tc>
          <w:tcPr>
            <w:tcW w:w="391" w:type="dxa"/>
            <w:tcBorders/>
          </w:tcPr>
          <w:p>
            <w:pPr>
              <w:pStyle w:val="TableContents"/>
              <w:bidi w:val="0"/>
              <w:spacing w:before="0" w:after="283"/>
              <w:jc w:val="start"/>
              <w:rPr>
                <w:sz w:val="4"/>
                <w:szCs w:val="4"/>
              </w:rPr>
            </w:pPr>
            <w:r>
              <w:rPr>
                <w:sz w:val="4"/>
                <w:szCs w:val="4"/>
              </w:rPr>
            </w:r>
          </w:p>
        </w:tc>
      </w:tr>
      <w:tr>
        <w:trPr/>
        <w:tc>
          <w:tcPr>
            <w:tcW w:w="3901" w:type="dxa"/>
            <w:tcBorders/>
            <w:vAlign w:val="center"/>
          </w:tcPr>
          <w:p>
            <w:pPr>
              <w:pStyle w:val="TableContents"/>
              <w:bidi w:val="0"/>
              <w:spacing w:before="0" w:after="283"/>
              <w:jc w:val="start"/>
              <w:rPr/>
            </w:pPr>
            <w:r>
              <w:rPr/>
              <w:t xml:space="preserve">R: 5- CACCTGGGGATGTCTTGTTGATACA-3 </w:t>
            </w:r>
          </w:p>
        </w:tc>
        <w:tc>
          <w:tcPr>
            <w:tcW w:w="8583" w:type="dxa"/>
            <w:gridSpan w:val="3"/>
            <w:tcBorders/>
          </w:tcPr>
          <w:p>
            <w:pPr>
              <w:pStyle w:val="TableContents"/>
              <w:bidi w:val="0"/>
              <w:spacing w:before="0" w:after="283"/>
              <w:jc w:val="start"/>
              <w:rPr>
                <w:sz w:val="4"/>
                <w:szCs w:val="4"/>
              </w:rPr>
            </w:pPr>
            <w:r>
              <w:rPr>
                <w:sz w:val="4"/>
                <w:szCs w:val="4"/>
              </w:rPr>
            </w:r>
          </w:p>
        </w:tc>
      </w:tr>
      <w:tr>
        <w:trPr/>
        <w:tc>
          <w:tcPr>
            <w:tcW w:w="3901" w:type="dxa"/>
            <w:tcBorders/>
            <w:vAlign w:val="center"/>
          </w:tcPr>
          <w:p>
            <w:pPr>
              <w:pStyle w:val="TableContents"/>
              <w:bidi w:val="0"/>
              <w:spacing w:before="0" w:after="283"/>
              <w:jc w:val="start"/>
              <w:rPr/>
            </w:pPr>
            <w:r>
              <w:rPr/>
              <w:t xml:space="preserve">rs25487 </w:t>
            </w:r>
          </w:p>
        </w:tc>
        <w:tc>
          <w:tcPr>
            <w:tcW w:w="3991" w:type="dxa"/>
            <w:tcBorders/>
            <w:vAlign w:val="center"/>
          </w:tcPr>
          <w:p>
            <w:pPr>
              <w:pStyle w:val="TableContents"/>
              <w:bidi w:val="0"/>
              <w:spacing w:before="0" w:after="283"/>
              <w:jc w:val="start"/>
              <w:rPr/>
            </w:pPr>
            <w:r>
              <w:rPr/>
              <w:t xml:space="preserve">outer </w:t>
            </w:r>
          </w:p>
        </w:tc>
        <w:tc>
          <w:tcPr>
            <w:tcW w:w="4201" w:type="dxa"/>
            <w:tcBorders/>
            <w:vAlign w:val="center"/>
          </w:tcPr>
          <w:p>
            <w:pPr>
              <w:pStyle w:val="TableContents"/>
              <w:bidi w:val="0"/>
              <w:spacing w:before="0" w:after="283"/>
              <w:jc w:val="start"/>
              <w:rPr/>
            </w:pPr>
            <w:r>
              <w:rPr/>
              <w:t xml:space="preserve">F: 5-ACCAGCTGTGCCTTTGCCAACACC-3 </w:t>
            </w:r>
          </w:p>
        </w:tc>
        <w:tc>
          <w:tcPr>
            <w:tcW w:w="391" w:type="dxa"/>
            <w:tcBorders/>
            <w:vAlign w:val="center"/>
          </w:tcPr>
          <w:p>
            <w:pPr>
              <w:pStyle w:val="TableContents"/>
              <w:bidi w:val="0"/>
              <w:spacing w:before="0" w:after="283"/>
              <w:jc w:val="start"/>
              <w:rPr/>
            </w:pPr>
            <w:r>
              <w:rPr/>
              <w:t xml:space="preserve">68 </w:t>
            </w:r>
          </w:p>
        </w:tc>
      </w:tr>
      <w:tr>
        <w:trPr/>
        <w:tc>
          <w:tcPr>
            <w:tcW w:w="3901" w:type="dxa"/>
            <w:tcBorders/>
            <w:vAlign w:val="center"/>
          </w:tcPr>
          <w:p>
            <w:pPr>
              <w:pStyle w:val="TableContents"/>
              <w:bidi w:val="0"/>
              <w:spacing w:before="0" w:after="283"/>
              <w:jc w:val="start"/>
              <w:rPr/>
            </w:pPr>
            <w:r>
              <w:rPr/>
              <w:t xml:space="preserve">R: 5-CTGGAGTACCCCAGCCCCTGCC-3 </w:t>
            </w:r>
          </w:p>
        </w:tc>
        <w:tc>
          <w:tcPr>
            <w:tcW w:w="8583" w:type="dxa"/>
            <w:gridSpan w:val="3"/>
            <w:tcBorders/>
          </w:tcPr>
          <w:p>
            <w:pPr>
              <w:pStyle w:val="TableContents"/>
              <w:bidi w:val="0"/>
              <w:spacing w:before="0" w:after="283"/>
              <w:jc w:val="start"/>
              <w:rPr>
                <w:sz w:val="4"/>
                <w:szCs w:val="4"/>
              </w:rPr>
            </w:pPr>
            <w:r>
              <w:rPr>
                <w:sz w:val="4"/>
                <w:szCs w:val="4"/>
              </w:rPr>
            </w:r>
          </w:p>
        </w:tc>
      </w:tr>
      <w:tr>
        <w:trPr/>
        <w:tc>
          <w:tcPr>
            <w:tcW w:w="3901" w:type="dxa"/>
            <w:tcBorders/>
            <w:vAlign w:val="center"/>
          </w:tcPr>
          <w:p>
            <w:pPr>
              <w:pStyle w:val="TableContents"/>
              <w:bidi w:val="0"/>
              <w:spacing w:before="0" w:after="283"/>
              <w:jc w:val="start"/>
              <w:rPr/>
            </w:pPr>
            <w:r>
              <w:rPr/>
              <w:t xml:space="preserve">inner </w:t>
            </w:r>
          </w:p>
        </w:tc>
        <w:tc>
          <w:tcPr>
            <w:tcW w:w="3991" w:type="dxa"/>
            <w:tcBorders/>
            <w:vAlign w:val="center"/>
          </w:tcPr>
          <w:p>
            <w:pPr>
              <w:pStyle w:val="TableContents"/>
              <w:bidi w:val="0"/>
              <w:spacing w:before="0" w:after="283"/>
              <w:jc w:val="start"/>
              <w:rPr/>
            </w:pPr>
            <w:r>
              <w:rPr/>
              <w:t xml:space="preserve">F: 5-GTCGGCGGCTGCCCTCACA-3 </w:t>
            </w:r>
          </w:p>
        </w:tc>
        <w:tc>
          <w:tcPr>
            <w:tcW w:w="4592" w:type="dxa"/>
            <w:gridSpan w:val="2"/>
            <w:tcBorders/>
          </w:tcPr>
          <w:p>
            <w:pPr>
              <w:pStyle w:val="TableContents"/>
              <w:bidi w:val="0"/>
              <w:spacing w:before="0" w:after="283"/>
              <w:jc w:val="start"/>
              <w:rPr>
                <w:sz w:val="4"/>
                <w:szCs w:val="4"/>
              </w:rPr>
            </w:pPr>
            <w:r>
              <w:rPr>
                <w:sz w:val="4"/>
                <w:szCs w:val="4"/>
              </w:rPr>
            </w:r>
          </w:p>
        </w:tc>
      </w:tr>
      <w:tr>
        <w:trPr/>
        <w:tc>
          <w:tcPr>
            <w:tcW w:w="3901" w:type="dxa"/>
            <w:tcBorders/>
            <w:vAlign w:val="center"/>
          </w:tcPr>
          <w:p>
            <w:pPr>
              <w:pStyle w:val="TableContents"/>
              <w:bidi w:val="0"/>
              <w:spacing w:before="0" w:after="283"/>
              <w:jc w:val="start"/>
              <w:rPr/>
            </w:pPr>
            <w:r>
              <w:rPr/>
              <w:t xml:space="preserve">R: 5-TGGCGTGTGAGGCCTTACCACC-3 </w:t>
            </w:r>
          </w:p>
        </w:tc>
        <w:tc>
          <w:tcPr>
            <w:tcW w:w="8583" w:type="dxa"/>
            <w:gridSpan w:val="3"/>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Each PCR products was digested according to its protocol; 10 U/μl of Msp I restriction enzyme (Fermentas, Lithuania) for 12 h at 37ºC. Digested samples were separated by electrophoresis on a 2. 5% agaroz gel and visualized by ethidium bromide staining. </w:t>
      </w:r>
    </w:p>
    <w:p>
      <w:pPr>
        <w:pStyle w:val="TextBody"/>
        <w:bidi w:val="0"/>
        <w:spacing w:before="0" w:after="283"/>
        <w:jc w:val="start"/>
        <w:rPr/>
      </w:pPr>
      <w:r>
        <w:rPr/>
        <w:t xml:space="preserve">Statistical analysis </w:t>
      </w:r>
    </w:p>
    <w:p>
      <w:pPr>
        <w:pStyle w:val="TextBody"/>
        <w:bidi w:val="0"/>
        <w:spacing w:before="0" w:after="283"/>
        <w:jc w:val="start"/>
        <w:rPr/>
      </w:pPr>
      <w:r>
        <w:rPr/>
        <w:t xml:space="preserve">Statistical analysis was performed with SPSS-V- 18. Student t test was used to compare quantitative variables and χ 2test was used to compare non-quantitative variables. Logistic regression analysis was used to assess the independent effect of each risk polymorphism on PE. Linkage disequilibrium (LD) was analyzed using Cube X software (15). Values of p &lt;0. 05 were considered statistically significant. </w:t>
      </w:r>
    </w:p>
    <w:p>
      <w:pPr>
        <w:pStyle w:val="TextBody"/>
        <w:bidi w:val="0"/>
        <w:spacing w:before="0" w:after="283"/>
        <w:jc w:val="start"/>
        <w:rPr/>
      </w:pPr>
      <w:r>
        <w:rPr/>
        <w:t xml:space="preserve">Result </w:t>
      </w:r>
    </w:p>
    <w:p>
      <w:pPr>
        <w:pStyle w:val="TextBody"/>
        <w:bidi w:val="0"/>
        <w:spacing w:before="0" w:after="283"/>
        <w:jc w:val="start"/>
        <w:rPr/>
      </w:pPr>
      <w:r>
        <w:rPr/>
        <w:t xml:space="preserve">Demographic data of SLE patients and control group are shown in table2. There were no significant differences in genders and ethnics between SLE patients and controls. Moreover, there was no considerable difference between the mean age between control group (32. 1±11. 7) and SLE patients (32. 6±8. 6, p= 0. 4). </w:t>
      </w:r>
    </w:p>
    <w:p>
      <w:pPr>
        <w:pStyle w:val="TextBody"/>
        <w:bidi w:val="0"/>
        <w:spacing w:before="0" w:after="283"/>
        <w:jc w:val="start"/>
        <w:rPr/>
      </w:pPr>
      <w:r>
        <w:rPr/>
        <w:t xml:space="preserve">Table 2. Demographic characteristics of SLE patients and controls </w:t>
      </w:r>
    </w:p>
    <w:tbl>
      <w:tblPr>
        <w:tblW w:w="5975" w:type="dxa"/>
        <w:jc w:val="start"/>
        <w:tblInd w:w="0" w:type="dxa"/>
        <w:tblLayout w:type="fixed"/>
        <w:tblCellMar>
          <w:top w:w="28" w:type="dxa"/>
          <w:start w:w="28" w:type="dxa"/>
          <w:bottom w:w="28" w:type="dxa"/>
          <w:end w:w="28" w:type="dxa"/>
        </w:tblCellMar>
      </w:tblPr>
      <w:tblGrid>
        <w:gridCol w:w="1891"/>
        <w:gridCol w:w="1141"/>
        <w:gridCol w:w="1261"/>
        <w:gridCol w:w="991"/>
        <w:gridCol w:w="691"/>
      </w:tblGrid>
      <w:tr>
        <w:trPr/>
        <w:tc>
          <w:tcPr>
            <w:tcW w:w="1891" w:type="dxa"/>
            <w:tcBorders/>
            <w:vAlign w:val="center"/>
          </w:tcPr>
          <w:p>
            <w:pPr>
              <w:pStyle w:val="TableContents"/>
              <w:bidi w:val="0"/>
              <w:spacing w:before="0" w:after="283"/>
              <w:jc w:val="start"/>
              <w:rPr/>
            </w:pPr>
            <w:r>
              <w:rPr/>
              <w:t xml:space="preserve">Parameter </w:t>
            </w:r>
          </w:p>
        </w:tc>
        <w:tc>
          <w:tcPr>
            <w:tcW w:w="1141" w:type="dxa"/>
            <w:tcBorders/>
            <w:vAlign w:val="center"/>
          </w:tcPr>
          <w:p>
            <w:pPr>
              <w:pStyle w:val="TableContents"/>
              <w:bidi w:val="0"/>
              <w:jc w:val="start"/>
              <w:rPr/>
            </w:pPr>
            <w:r>
              <w:rPr/>
              <w:t xml:space="preserve">SLE </w:t>
            </w:r>
          </w:p>
          <w:p>
            <w:pPr>
              <w:pStyle w:val="TableContents"/>
              <w:bidi w:val="0"/>
              <w:spacing w:before="0" w:after="283"/>
              <w:jc w:val="start"/>
              <w:rPr/>
            </w:pPr>
            <w:r>
              <w:rPr/>
              <w:t xml:space="preserve">N= 163 </w:t>
            </w:r>
          </w:p>
        </w:tc>
        <w:tc>
          <w:tcPr>
            <w:tcW w:w="1261" w:type="dxa"/>
            <w:tcBorders/>
            <w:vAlign w:val="center"/>
          </w:tcPr>
          <w:p>
            <w:pPr>
              <w:pStyle w:val="TableContents"/>
              <w:bidi w:val="0"/>
              <w:jc w:val="start"/>
              <w:rPr/>
            </w:pPr>
            <w:r>
              <w:rPr/>
              <w:t xml:space="preserve">Controls </w:t>
            </w:r>
          </w:p>
          <w:p>
            <w:pPr>
              <w:pStyle w:val="TableContents"/>
              <w:bidi w:val="0"/>
              <w:spacing w:before="0" w:after="283"/>
              <w:jc w:val="start"/>
              <w:rPr/>
            </w:pPr>
            <w:r>
              <w:rPr/>
              <w:t xml:space="preserve">N= 180 </w:t>
            </w:r>
          </w:p>
        </w:tc>
        <w:tc>
          <w:tcPr>
            <w:tcW w:w="991" w:type="dxa"/>
            <w:tcBorders/>
            <w:vAlign w:val="center"/>
          </w:tcPr>
          <w:p>
            <w:pPr>
              <w:pStyle w:val="TableContents"/>
              <w:bidi w:val="0"/>
              <w:spacing w:before="0" w:after="283"/>
              <w:jc w:val="start"/>
              <w:rPr/>
            </w:pPr>
            <w:r>
              <w:rPr>
                <w:rStyle w:val="Emphasis"/>
              </w:rPr>
              <w:t xml:space="preserve">p </w:t>
            </w:r>
            <w:r>
              <w:rPr/>
              <w:t xml:space="preserve">-Value </w:t>
            </w:r>
          </w:p>
        </w:tc>
        <w:tc>
          <w:tcPr>
            <w:tcW w:w="691" w:type="dxa"/>
            <w:tcBorders/>
            <w:vAlign w:val="center"/>
          </w:tcPr>
          <w:p>
            <w:pPr>
              <w:pStyle w:val="TableContents"/>
              <w:bidi w:val="0"/>
              <w:spacing w:before="0" w:after="283"/>
              <w:jc w:val="start"/>
              <w:rPr/>
            </w:pPr>
            <w:r>
              <w:rPr/>
              <w:t xml:space="preserve">χ </w:t>
            </w:r>
            <w:r>
              <w:rPr>
                <w:position w:val="8"/>
                <w:sz w:val="19"/>
              </w:rPr>
              <w:t xml:space="preserve">2 </w:t>
            </w:r>
          </w:p>
        </w:tc>
      </w:tr>
      <w:tr>
        <w:trPr/>
        <w:tc>
          <w:tcPr>
            <w:tcW w:w="1891" w:type="dxa"/>
            <w:tcBorders/>
            <w:vAlign w:val="center"/>
          </w:tcPr>
          <w:p>
            <w:pPr>
              <w:pStyle w:val="TableContents"/>
              <w:bidi w:val="0"/>
              <w:spacing w:before="0" w:after="283"/>
              <w:jc w:val="start"/>
              <w:rPr/>
            </w:pPr>
            <w:r>
              <w:rPr/>
              <w:t xml:space="preserve">Age (yr) </w:t>
            </w:r>
          </w:p>
        </w:tc>
        <w:tc>
          <w:tcPr>
            <w:tcW w:w="1141" w:type="dxa"/>
            <w:tcBorders/>
            <w:vAlign w:val="center"/>
          </w:tcPr>
          <w:p>
            <w:pPr>
              <w:pStyle w:val="TableContents"/>
              <w:bidi w:val="0"/>
              <w:spacing w:before="0" w:after="283"/>
              <w:jc w:val="start"/>
              <w:rPr/>
            </w:pPr>
            <w:r>
              <w:rPr/>
              <w:t xml:space="preserve">32. 6±8. 6 </w:t>
            </w:r>
          </w:p>
        </w:tc>
        <w:tc>
          <w:tcPr>
            <w:tcW w:w="1261" w:type="dxa"/>
            <w:tcBorders/>
            <w:vAlign w:val="center"/>
          </w:tcPr>
          <w:p>
            <w:pPr>
              <w:pStyle w:val="TableContents"/>
              <w:bidi w:val="0"/>
              <w:spacing w:before="0" w:after="283"/>
              <w:jc w:val="start"/>
              <w:rPr/>
            </w:pPr>
            <w:r>
              <w:rPr/>
              <w:t xml:space="preserve">32. 1±11. 7 </w:t>
            </w:r>
          </w:p>
        </w:tc>
        <w:tc>
          <w:tcPr>
            <w:tcW w:w="991" w:type="dxa"/>
            <w:tcBorders/>
            <w:vAlign w:val="center"/>
          </w:tcPr>
          <w:p>
            <w:pPr>
              <w:pStyle w:val="TableContents"/>
              <w:bidi w:val="0"/>
              <w:spacing w:before="0" w:after="283"/>
              <w:jc w:val="start"/>
              <w:rPr/>
            </w:pPr>
            <w:r>
              <w:rPr/>
              <w:t xml:space="preserve">0. 68 </w:t>
            </w:r>
          </w:p>
        </w:tc>
        <w:tc>
          <w:tcPr>
            <w:tcW w:w="691" w:type="dxa"/>
            <w:tcBorders/>
            <w:vAlign w:val="center"/>
          </w:tcPr>
          <w:p>
            <w:pPr>
              <w:pStyle w:val="TableContents"/>
              <w:bidi w:val="0"/>
              <w:spacing w:before="0" w:after="283"/>
              <w:jc w:val="start"/>
              <w:rPr/>
            </w:pPr>
            <w:r>
              <w:rPr/>
              <w:t xml:space="preserve">0. 04 </w:t>
            </w:r>
          </w:p>
        </w:tc>
      </w:tr>
      <w:tr>
        <w:trPr/>
        <w:tc>
          <w:tcPr>
            <w:tcW w:w="1891" w:type="dxa"/>
            <w:tcBorders/>
            <w:vAlign w:val="center"/>
          </w:tcPr>
          <w:p>
            <w:pPr>
              <w:pStyle w:val="TableContents"/>
              <w:bidi w:val="0"/>
              <w:spacing w:before="0" w:after="283"/>
              <w:jc w:val="start"/>
              <w:rPr/>
            </w:pPr>
            <w:r>
              <w:rPr/>
              <w:t xml:space="preserve">Sex (male/female) </w:t>
            </w:r>
          </w:p>
        </w:tc>
        <w:tc>
          <w:tcPr>
            <w:tcW w:w="1141" w:type="dxa"/>
            <w:tcBorders/>
            <w:vAlign w:val="center"/>
          </w:tcPr>
          <w:p>
            <w:pPr>
              <w:pStyle w:val="TableContents"/>
              <w:bidi w:val="0"/>
              <w:spacing w:before="0" w:after="283"/>
              <w:jc w:val="start"/>
              <w:rPr/>
            </w:pPr>
            <w:r>
              <w:rPr/>
              <w:t xml:space="preserve">13/150 </w:t>
            </w:r>
          </w:p>
        </w:tc>
        <w:tc>
          <w:tcPr>
            <w:tcW w:w="1261" w:type="dxa"/>
            <w:tcBorders/>
            <w:vAlign w:val="center"/>
          </w:tcPr>
          <w:p>
            <w:pPr>
              <w:pStyle w:val="TableContents"/>
              <w:bidi w:val="0"/>
              <w:spacing w:before="0" w:after="283"/>
              <w:jc w:val="start"/>
              <w:rPr/>
            </w:pPr>
            <w:r>
              <w:rPr/>
              <w:t xml:space="preserve">14/166 </w:t>
            </w:r>
          </w:p>
        </w:tc>
        <w:tc>
          <w:tcPr>
            <w:tcW w:w="991" w:type="dxa"/>
            <w:tcBorders/>
            <w:vAlign w:val="center"/>
          </w:tcPr>
          <w:p>
            <w:pPr>
              <w:pStyle w:val="TableContents"/>
              <w:bidi w:val="0"/>
              <w:spacing w:before="0" w:after="283"/>
              <w:jc w:val="start"/>
              <w:rPr/>
            </w:pPr>
            <w:r>
              <w:rPr/>
              <w:t xml:space="preserve">0. 6 </w:t>
            </w:r>
          </w:p>
        </w:tc>
        <w:tc>
          <w:tcPr>
            <w:tcW w:w="691" w:type="dxa"/>
            <w:tcBorders/>
            <w:vAlign w:val="center"/>
          </w:tcPr>
          <w:p>
            <w:pPr>
              <w:pStyle w:val="TableContents"/>
              <w:bidi w:val="0"/>
              <w:spacing w:before="0" w:after="283"/>
              <w:jc w:val="start"/>
              <w:rPr/>
            </w:pPr>
            <w:r>
              <w:rPr/>
              <w:t xml:space="preserve">0. 04 </w:t>
            </w:r>
          </w:p>
        </w:tc>
      </w:tr>
      <w:tr>
        <w:trPr/>
        <w:tc>
          <w:tcPr>
            <w:tcW w:w="1891" w:type="dxa"/>
            <w:tcBorders/>
            <w:vAlign w:val="center"/>
          </w:tcPr>
          <w:p>
            <w:pPr>
              <w:pStyle w:val="TableContents"/>
              <w:bidi w:val="0"/>
              <w:jc w:val="start"/>
              <w:rPr/>
            </w:pPr>
            <w:r>
              <w:rPr/>
              <w:t xml:space="preserve">Race N (%) </w:t>
            </w:r>
          </w:p>
          <w:p>
            <w:pPr>
              <w:pStyle w:val="TableContents"/>
              <w:bidi w:val="0"/>
              <w:jc w:val="start"/>
              <w:rPr/>
            </w:pPr>
            <w:r>
              <w:rPr/>
              <w:t xml:space="preserve">Persian </w:t>
            </w:r>
          </w:p>
          <w:p>
            <w:pPr>
              <w:pStyle w:val="TableContents"/>
              <w:bidi w:val="0"/>
              <w:spacing w:before="0" w:after="283"/>
              <w:jc w:val="start"/>
              <w:rPr/>
            </w:pPr>
            <w:r>
              <w:rPr/>
              <w:t xml:space="preserve">Balouch </w:t>
            </w:r>
          </w:p>
        </w:tc>
        <w:tc>
          <w:tcPr>
            <w:tcW w:w="1141" w:type="dxa"/>
            <w:tcBorders/>
            <w:vAlign w:val="center"/>
          </w:tcPr>
          <w:p>
            <w:pPr>
              <w:pStyle w:val="TableContents"/>
              <w:bidi w:val="0"/>
              <w:jc w:val="start"/>
              <w:rPr/>
            </w:pPr>
            <w:r>
              <w:rPr/>
              <w:t xml:space="preserve">82 (50) </w:t>
            </w:r>
          </w:p>
          <w:p>
            <w:pPr>
              <w:pStyle w:val="TableContents"/>
              <w:bidi w:val="0"/>
              <w:spacing w:before="0" w:after="283"/>
              <w:jc w:val="start"/>
              <w:rPr/>
            </w:pPr>
            <w:r>
              <w:rPr/>
              <w:t xml:space="preserve">81 (50) </w:t>
            </w:r>
          </w:p>
        </w:tc>
        <w:tc>
          <w:tcPr>
            <w:tcW w:w="1261" w:type="dxa"/>
            <w:tcBorders/>
            <w:vAlign w:val="center"/>
          </w:tcPr>
          <w:p>
            <w:pPr>
              <w:pStyle w:val="TableContents"/>
              <w:bidi w:val="0"/>
              <w:jc w:val="start"/>
              <w:rPr/>
            </w:pPr>
            <w:r>
              <w:rPr/>
              <w:t xml:space="preserve">86 (48) </w:t>
            </w:r>
          </w:p>
          <w:p>
            <w:pPr>
              <w:pStyle w:val="TableContents"/>
              <w:bidi w:val="0"/>
              <w:spacing w:before="0" w:after="283"/>
              <w:jc w:val="start"/>
              <w:rPr/>
            </w:pPr>
            <w:r>
              <w:rPr/>
              <w:t xml:space="preserve">94 (52) </w:t>
            </w:r>
          </w:p>
        </w:tc>
        <w:tc>
          <w:tcPr>
            <w:tcW w:w="991" w:type="dxa"/>
            <w:tcBorders/>
            <w:vAlign w:val="center"/>
          </w:tcPr>
          <w:p>
            <w:pPr>
              <w:pStyle w:val="TableContents"/>
              <w:bidi w:val="0"/>
              <w:spacing w:before="0" w:after="283"/>
              <w:jc w:val="start"/>
              <w:rPr/>
            </w:pPr>
            <w:r>
              <w:rPr/>
              <w:t xml:space="preserve">0. 36 </w:t>
            </w:r>
          </w:p>
        </w:tc>
        <w:tc>
          <w:tcPr>
            <w:tcW w:w="691" w:type="dxa"/>
            <w:tcBorders/>
            <w:vAlign w:val="center"/>
          </w:tcPr>
          <w:p>
            <w:pPr>
              <w:pStyle w:val="TableContents"/>
              <w:bidi w:val="0"/>
              <w:spacing w:before="0" w:after="283"/>
              <w:jc w:val="start"/>
              <w:rPr/>
            </w:pPr>
            <w:r>
              <w:rPr/>
              <w:t xml:space="preserve">0. 27 </w:t>
            </w:r>
          </w:p>
        </w:tc>
      </w:tr>
    </w:tbl>
    <w:p>
      <w:pPr>
        <w:pStyle w:val="TextBody"/>
        <w:bidi w:val="0"/>
        <w:spacing w:before="0" w:after="283"/>
        <w:jc w:val="start"/>
        <w:rPr/>
      </w:pPr>
      <w:r>
        <w:rPr/>
        <w:t xml:space="preserve">According to our findings dermomucus manifestations developed in 85% of SLE patients (54% with malar rash). Arthritis was found in 84% of patients, whereas neuropsychiatric manifestations were observed in 17% of patients. Lupus nephritis was developed with raised serum creatinine in 27% of patients. </w:t>
      </w:r>
    </w:p>
    <w:p>
      <w:pPr>
        <w:pStyle w:val="TextBody"/>
        <w:bidi w:val="0"/>
        <w:spacing w:before="0" w:after="283"/>
        <w:jc w:val="start"/>
        <w:rPr/>
      </w:pPr>
      <w:r>
        <w:rPr/>
        <w:t xml:space="preserve">The allele and genotype frequencies of patients with SLE and controls are shown in Table 3. All loci were in Hardy–Weinberg equilibrium. The rs1799782and rs25484 did not have significant LD (D </w:t>
      </w:r>
      <w:r>
        <w:rPr>
          <w:position w:val="8"/>
          <w:sz w:val="19"/>
        </w:rPr>
        <w:t xml:space="preserve">′ </w:t>
      </w:r>
      <w:r>
        <w:rPr/>
        <w:t xml:space="preserve">= 0. 708, r </w:t>
      </w:r>
      <w:r>
        <w:rPr>
          <w:position w:val="8"/>
          <w:sz w:val="19"/>
        </w:rPr>
        <w:t xml:space="preserve">2 </w:t>
      </w:r>
      <w:r>
        <w:rPr/>
        <w:t xml:space="preserve">= 0. 162 and P &lt; 0. 05) as determined by pair-wise LD estimation. </w:t>
      </w:r>
    </w:p>
    <w:p>
      <w:pPr>
        <w:pStyle w:val="TextBody"/>
        <w:bidi w:val="0"/>
        <w:spacing w:before="0" w:after="283"/>
        <w:jc w:val="start"/>
        <w:rPr/>
      </w:pPr>
      <w:r>
        <w:rPr/>
        <w:t xml:space="preserve">The genotype and allele frequencies of XRCC1 Arg194Trp (rs1799782) polymorphism was not significantly different between SLE patients and control group. However, the genotypic and allelic frequencies of XRCC1 Arg399Gln (rs25484) polymorphism was statistically different between two groups. The risk of SLE was lower in individuals with AG and AA genotype in compare to those with GG genotype. (OR, 0. 43 [95% CI, 0. 26 to 0. 71]; P= 0. 001 and 0. 53[95% CI, 0. 027 to 1. 03). In addition, the frequency of G allele was significantly higher in SLE pateints p= 0. 011. </w:t>
      </w:r>
    </w:p>
    <w:p>
      <w:pPr>
        <w:pStyle w:val="TextBody"/>
        <w:bidi w:val="0"/>
        <w:spacing w:before="0" w:after="283"/>
        <w:jc w:val="start"/>
        <w:rPr/>
      </w:pPr>
      <w:r>
        <w:rPr/>
        <w:t xml:space="preserve">Table3. Genotypes and alleles frequency of XRCC1 polymorphisms in SLE patients and controls </w:t>
      </w:r>
    </w:p>
    <w:tbl>
      <w:tblPr>
        <w:tblW w:w="6140" w:type="dxa"/>
        <w:jc w:val="start"/>
        <w:tblInd w:w="0" w:type="dxa"/>
        <w:tblLayout w:type="fixed"/>
        <w:tblCellMar>
          <w:top w:w="28" w:type="dxa"/>
          <w:start w:w="28" w:type="dxa"/>
          <w:bottom w:w="28" w:type="dxa"/>
          <w:end w:w="28" w:type="dxa"/>
        </w:tblCellMar>
      </w:tblPr>
      <w:tblGrid>
        <w:gridCol w:w="1081"/>
        <w:gridCol w:w="1201"/>
        <w:gridCol w:w="1201"/>
        <w:gridCol w:w="751"/>
        <w:gridCol w:w="1906"/>
      </w:tblGrid>
      <w:tr>
        <w:trPr/>
        <w:tc>
          <w:tcPr>
            <w:tcW w:w="1081" w:type="dxa"/>
            <w:tcBorders/>
            <w:vAlign w:val="center"/>
          </w:tcPr>
          <w:p>
            <w:pPr>
              <w:pStyle w:val="TableContents"/>
              <w:bidi w:val="0"/>
              <w:spacing w:before="0" w:after="283"/>
              <w:jc w:val="start"/>
              <w:rPr>
                <w:position w:val="8"/>
                <w:sz w:val="19"/>
              </w:rPr>
            </w:pPr>
            <w:r>
              <w:rPr>
                <w:position w:val="8"/>
                <w:sz w:val="19"/>
              </w:rPr>
              <w:t xml:space="preserve">genotype </w:t>
            </w:r>
          </w:p>
        </w:tc>
        <w:tc>
          <w:tcPr>
            <w:tcW w:w="1201" w:type="dxa"/>
            <w:tcBorders/>
            <w:vAlign w:val="center"/>
          </w:tcPr>
          <w:p>
            <w:pPr>
              <w:pStyle w:val="TableContents"/>
              <w:bidi w:val="0"/>
              <w:jc w:val="start"/>
              <w:rPr>
                <w:position w:val="8"/>
                <w:sz w:val="19"/>
              </w:rPr>
            </w:pPr>
            <w:r>
              <w:rPr>
                <w:position w:val="8"/>
                <w:sz w:val="19"/>
              </w:rPr>
              <w:t xml:space="preserve">case </w:t>
            </w:r>
          </w:p>
          <w:p>
            <w:pPr>
              <w:pStyle w:val="TableContents"/>
              <w:bidi w:val="0"/>
              <w:spacing w:before="0" w:after="283"/>
              <w:jc w:val="start"/>
              <w:rPr>
                <w:position w:val="8"/>
                <w:sz w:val="19"/>
              </w:rPr>
            </w:pPr>
            <w:r>
              <w:rPr>
                <w:position w:val="8"/>
                <w:sz w:val="19"/>
              </w:rPr>
              <w:t xml:space="preserve">N= 163(%) </w:t>
            </w:r>
          </w:p>
        </w:tc>
        <w:tc>
          <w:tcPr>
            <w:tcW w:w="1201" w:type="dxa"/>
            <w:tcBorders/>
            <w:vAlign w:val="center"/>
          </w:tcPr>
          <w:p>
            <w:pPr>
              <w:pStyle w:val="TableContents"/>
              <w:bidi w:val="0"/>
              <w:jc w:val="start"/>
              <w:rPr>
                <w:position w:val="8"/>
                <w:sz w:val="19"/>
              </w:rPr>
            </w:pPr>
            <w:r>
              <w:rPr>
                <w:position w:val="8"/>
                <w:sz w:val="19"/>
              </w:rPr>
              <w:t xml:space="preserve">control </w:t>
            </w:r>
          </w:p>
          <w:p>
            <w:pPr>
              <w:pStyle w:val="TableContents"/>
              <w:bidi w:val="0"/>
              <w:spacing w:before="0" w:after="283"/>
              <w:jc w:val="start"/>
              <w:rPr>
                <w:position w:val="8"/>
                <w:sz w:val="19"/>
              </w:rPr>
            </w:pPr>
            <w:r>
              <w:rPr>
                <w:position w:val="8"/>
                <w:sz w:val="19"/>
              </w:rPr>
              <w:t xml:space="preserve">N= 180(%) </w:t>
            </w:r>
          </w:p>
        </w:tc>
        <w:tc>
          <w:tcPr>
            <w:tcW w:w="751" w:type="dxa"/>
            <w:tcBorders/>
            <w:vAlign w:val="center"/>
          </w:tcPr>
          <w:p>
            <w:pPr>
              <w:pStyle w:val="TableContents"/>
              <w:bidi w:val="0"/>
              <w:spacing w:before="0" w:after="283"/>
              <w:jc w:val="start"/>
              <w:rPr>
                <w:position w:val="8"/>
                <w:sz w:val="19"/>
              </w:rPr>
            </w:pPr>
            <w:r>
              <w:rPr>
                <w:position w:val="8"/>
                <w:sz w:val="19"/>
              </w:rPr>
              <w:t xml:space="preserve">p value </w:t>
            </w:r>
          </w:p>
        </w:tc>
        <w:tc>
          <w:tcPr>
            <w:tcW w:w="1906" w:type="dxa"/>
            <w:tcBorders/>
            <w:vAlign w:val="center"/>
          </w:tcPr>
          <w:p>
            <w:pPr>
              <w:pStyle w:val="TableContents"/>
              <w:bidi w:val="0"/>
              <w:spacing w:before="0" w:after="283"/>
              <w:jc w:val="start"/>
              <w:rPr>
                <w:position w:val="8"/>
                <w:sz w:val="19"/>
              </w:rPr>
            </w:pPr>
            <w:r>
              <w:rPr>
                <w:position w:val="8"/>
                <w:sz w:val="19"/>
              </w:rPr>
              <w:t xml:space="preserve">OR </w:t>
            </w:r>
          </w:p>
        </w:tc>
      </w:tr>
      <w:tr>
        <w:trPr/>
        <w:tc>
          <w:tcPr>
            <w:tcW w:w="1081" w:type="dxa"/>
            <w:tcBorders/>
            <w:vAlign w:val="center"/>
          </w:tcPr>
          <w:p>
            <w:pPr>
              <w:pStyle w:val="TableContents"/>
              <w:bidi w:val="0"/>
              <w:spacing w:before="0" w:after="283"/>
              <w:jc w:val="start"/>
              <w:rPr>
                <w:position w:val="8"/>
                <w:sz w:val="19"/>
              </w:rPr>
            </w:pPr>
            <w:r>
              <w:rPr>
                <w:position w:val="8"/>
                <w:sz w:val="19"/>
              </w:rPr>
              <w:t xml:space="preserve">Arg399Gln </w:t>
            </w:r>
          </w:p>
        </w:tc>
        <w:tc>
          <w:tcPr>
            <w:tcW w:w="1201" w:type="dxa"/>
            <w:tcBorders/>
            <w:vAlign w:val="center"/>
          </w:tcPr>
          <w:p>
            <w:pPr>
              <w:pStyle w:val="TableContents"/>
              <w:bidi w:val="0"/>
              <w:spacing w:before="0" w:after="283"/>
              <w:jc w:val="start"/>
              <w:rPr>
                <w:sz w:val="4"/>
                <w:szCs w:val="4"/>
              </w:rPr>
            </w:pPr>
            <w:r>
              <w:rPr>
                <w:sz w:val="4"/>
                <w:szCs w:val="4"/>
              </w:rPr>
            </w:r>
          </w:p>
        </w:tc>
        <w:tc>
          <w:tcPr>
            <w:tcW w:w="120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1906" w:type="dxa"/>
            <w:tcBorders/>
            <w:vAlign w:val="center"/>
          </w:tcPr>
          <w:p>
            <w:pPr>
              <w:pStyle w:val="TableContents"/>
              <w:bidi w:val="0"/>
              <w:spacing w:before="0" w:after="283"/>
              <w:jc w:val="start"/>
              <w:rPr>
                <w:sz w:val="4"/>
                <w:szCs w:val="4"/>
              </w:rPr>
            </w:pPr>
            <w:r>
              <w:rPr>
                <w:sz w:val="4"/>
                <w:szCs w:val="4"/>
              </w:rPr>
            </w:r>
          </w:p>
        </w:tc>
      </w:tr>
      <w:tr>
        <w:trPr/>
        <w:tc>
          <w:tcPr>
            <w:tcW w:w="1081" w:type="dxa"/>
            <w:tcBorders/>
            <w:vAlign w:val="center"/>
          </w:tcPr>
          <w:p>
            <w:pPr>
              <w:pStyle w:val="TableContents"/>
              <w:bidi w:val="0"/>
              <w:spacing w:before="0" w:after="283"/>
              <w:jc w:val="start"/>
              <w:rPr>
                <w:position w:val="8"/>
                <w:sz w:val="19"/>
              </w:rPr>
            </w:pPr>
            <w:r>
              <w:rPr>
                <w:position w:val="8"/>
                <w:sz w:val="19"/>
              </w:rPr>
              <w:t xml:space="preserve">GG </w:t>
            </w:r>
          </w:p>
        </w:tc>
        <w:tc>
          <w:tcPr>
            <w:tcW w:w="1201" w:type="dxa"/>
            <w:tcBorders/>
            <w:vAlign w:val="center"/>
          </w:tcPr>
          <w:p>
            <w:pPr>
              <w:pStyle w:val="TableContents"/>
              <w:bidi w:val="0"/>
              <w:spacing w:before="0" w:after="283"/>
              <w:jc w:val="start"/>
              <w:rPr>
                <w:position w:val="8"/>
                <w:sz w:val="19"/>
              </w:rPr>
            </w:pPr>
            <w:r>
              <w:rPr>
                <w:position w:val="8"/>
                <w:sz w:val="19"/>
              </w:rPr>
              <w:t xml:space="preserve">64 (39. 3%) </w:t>
            </w:r>
          </w:p>
        </w:tc>
        <w:tc>
          <w:tcPr>
            <w:tcW w:w="1201" w:type="dxa"/>
            <w:tcBorders/>
            <w:vAlign w:val="center"/>
          </w:tcPr>
          <w:p>
            <w:pPr>
              <w:pStyle w:val="TableContents"/>
              <w:bidi w:val="0"/>
              <w:spacing w:before="0" w:after="283"/>
              <w:jc w:val="start"/>
              <w:rPr>
                <w:position w:val="8"/>
                <w:sz w:val="19"/>
              </w:rPr>
            </w:pPr>
            <w:r>
              <w:rPr>
                <w:position w:val="8"/>
                <w:sz w:val="19"/>
              </w:rPr>
              <w:t xml:space="preserve">41 (22/8%) </w:t>
            </w:r>
          </w:p>
        </w:tc>
        <w:tc>
          <w:tcPr>
            <w:tcW w:w="751" w:type="dxa"/>
            <w:tcBorders/>
            <w:vAlign w:val="center"/>
          </w:tcPr>
          <w:p>
            <w:pPr>
              <w:pStyle w:val="TableContents"/>
              <w:bidi w:val="0"/>
              <w:spacing w:before="0" w:after="283"/>
              <w:jc w:val="start"/>
              <w:rPr>
                <w:sz w:val="4"/>
                <w:szCs w:val="4"/>
              </w:rPr>
            </w:pPr>
            <w:r>
              <w:rPr>
                <w:sz w:val="4"/>
                <w:szCs w:val="4"/>
              </w:rPr>
            </w:r>
          </w:p>
        </w:tc>
        <w:tc>
          <w:tcPr>
            <w:tcW w:w="1906" w:type="dxa"/>
            <w:tcBorders/>
            <w:vAlign w:val="center"/>
          </w:tcPr>
          <w:p>
            <w:pPr>
              <w:pStyle w:val="TableContents"/>
              <w:bidi w:val="0"/>
              <w:spacing w:before="0" w:after="283"/>
              <w:jc w:val="start"/>
              <w:rPr>
                <w:sz w:val="4"/>
                <w:szCs w:val="4"/>
              </w:rPr>
            </w:pPr>
            <w:r>
              <w:rPr>
                <w:sz w:val="4"/>
                <w:szCs w:val="4"/>
              </w:rPr>
            </w:r>
          </w:p>
        </w:tc>
      </w:tr>
      <w:tr>
        <w:trPr/>
        <w:tc>
          <w:tcPr>
            <w:tcW w:w="1081" w:type="dxa"/>
            <w:tcBorders/>
            <w:vAlign w:val="center"/>
          </w:tcPr>
          <w:p>
            <w:pPr>
              <w:pStyle w:val="TableContents"/>
              <w:bidi w:val="0"/>
              <w:spacing w:before="0" w:after="283"/>
              <w:jc w:val="start"/>
              <w:rPr>
                <w:position w:val="8"/>
                <w:sz w:val="19"/>
              </w:rPr>
            </w:pPr>
            <w:r>
              <w:rPr>
                <w:position w:val="8"/>
                <w:sz w:val="19"/>
              </w:rPr>
              <w:t xml:space="preserve">AG </w:t>
            </w:r>
          </w:p>
        </w:tc>
        <w:tc>
          <w:tcPr>
            <w:tcW w:w="1201" w:type="dxa"/>
            <w:tcBorders/>
            <w:vAlign w:val="center"/>
          </w:tcPr>
          <w:p>
            <w:pPr>
              <w:pStyle w:val="TableContents"/>
              <w:bidi w:val="0"/>
              <w:spacing w:before="0" w:after="283"/>
              <w:jc w:val="start"/>
              <w:rPr>
                <w:position w:val="8"/>
                <w:sz w:val="19"/>
              </w:rPr>
            </w:pPr>
            <w:r>
              <w:rPr>
                <w:position w:val="8"/>
                <w:sz w:val="19"/>
              </w:rPr>
              <w:t xml:space="preserve">75 (46%) </w:t>
            </w:r>
          </w:p>
        </w:tc>
        <w:tc>
          <w:tcPr>
            <w:tcW w:w="1201" w:type="dxa"/>
            <w:tcBorders/>
            <w:vAlign w:val="center"/>
          </w:tcPr>
          <w:p>
            <w:pPr>
              <w:pStyle w:val="TableContents"/>
              <w:bidi w:val="0"/>
              <w:spacing w:before="0" w:after="283"/>
              <w:jc w:val="start"/>
              <w:rPr>
                <w:position w:val="8"/>
                <w:sz w:val="19"/>
              </w:rPr>
            </w:pPr>
            <w:r>
              <w:rPr>
                <w:position w:val="8"/>
                <w:sz w:val="19"/>
              </w:rPr>
              <w:t xml:space="preserve">110 (61/2%) </w:t>
            </w:r>
          </w:p>
        </w:tc>
        <w:tc>
          <w:tcPr>
            <w:tcW w:w="751" w:type="dxa"/>
            <w:tcBorders/>
            <w:vAlign w:val="center"/>
          </w:tcPr>
          <w:p>
            <w:pPr>
              <w:pStyle w:val="TableContents"/>
              <w:bidi w:val="0"/>
              <w:spacing w:before="0" w:after="283"/>
              <w:jc w:val="start"/>
              <w:rPr>
                <w:position w:val="8"/>
                <w:sz w:val="19"/>
              </w:rPr>
            </w:pPr>
            <w:r>
              <w:rPr>
                <w:position w:val="8"/>
                <w:sz w:val="19"/>
              </w:rPr>
              <w:t xml:space="preserve">0. 001 </w:t>
            </w:r>
          </w:p>
        </w:tc>
        <w:tc>
          <w:tcPr>
            <w:tcW w:w="1906" w:type="dxa"/>
            <w:tcBorders/>
            <w:vAlign w:val="center"/>
          </w:tcPr>
          <w:p>
            <w:pPr>
              <w:pStyle w:val="TableContents"/>
              <w:bidi w:val="0"/>
              <w:spacing w:before="0" w:after="283"/>
              <w:jc w:val="start"/>
              <w:rPr>
                <w:position w:val="8"/>
                <w:sz w:val="19"/>
              </w:rPr>
            </w:pPr>
            <w:r>
              <w:rPr>
                <w:position w:val="8"/>
                <w:sz w:val="19"/>
              </w:rPr>
              <w:t xml:space="preserve">0. 436(0. 267-0. 712) </w:t>
            </w:r>
          </w:p>
        </w:tc>
      </w:tr>
      <w:tr>
        <w:trPr/>
        <w:tc>
          <w:tcPr>
            <w:tcW w:w="1081" w:type="dxa"/>
            <w:tcBorders/>
            <w:vAlign w:val="center"/>
          </w:tcPr>
          <w:p>
            <w:pPr>
              <w:pStyle w:val="TableContents"/>
              <w:bidi w:val="0"/>
              <w:spacing w:before="0" w:after="283"/>
              <w:jc w:val="start"/>
              <w:rPr>
                <w:position w:val="8"/>
                <w:sz w:val="19"/>
              </w:rPr>
            </w:pPr>
            <w:r>
              <w:rPr>
                <w:position w:val="8"/>
                <w:sz w:val="19"/>
              </w:rPr>
              <w:t xml:space="preserve">AA </w:t>
            </w:r>
          </w:p>
        </w:tc>
        <w:tc>
          <w:tcPr>
            <w:tcW w:w="1201" w:type="dxa"/>
            <w:tcBorders/>
            <w:vAlign w:val="center"/>
          </w:tcPr>
          <w:p>
            <w:pPr>
              <w:pStyle w:val="TableContents"/>
              <w:bidi w:val="0"/>
              <w:spacing w:before="0" w:after="283"/>
              <w:jc w:val="start"/>
              <w:rPr>
                <w:position w:val="8"/>
                <w:sz w:val="19"/>
              </w:rPr>
            </w:pPr>
            <w:r>
              <w:rPr>
                <w:position w:val="8"/>
                <w:sz w:val="19"/>
              </w:rPr>
              <w:t xml:space="preserve">24 (14. 7%) </w:t>
            </w:r>
          </w:p>
        </w:tc>
        <w:tc>
          <w:tcPr>
            <w:tcW w:w="1201" w:type="dxa"/>
            <w:tcBorders/>
            <w:vAlign w:val="center"/>
          </w:tcPr>
          <w:p>
            <w:pPr>
              <w:pStyle w:val="TableContents"/>
              <w:bidi w:val="0"/>
              <w:spacing w:before="0" w:after="283"/>
              <w:jc w:val="start"/>
              <w:rPr>
                <w:position w:val="8"/>
                <w:sz w:val="19"/>
              </w:rPr>
            </w:pPr>
            <w:r>
              <w:rPr>
                <w:position w:val="8"/>
                <w:sz w:val="19"/>
              </w:rPr>
              <w:t xml:space="preserve">29 (16%) </w:t>
            </w:r>
          </w:p>
        </w:tc>
        <w:tc>
          <w:tcPr>
            <w:tcW w:w="751" w:type="dxa"/>
            <w:tcBorders/>
            <w:vAlign w:val="center"/>
          </w:tcPr>
          <w:p>
            <w:pPr>
              <w:pStyle w:val="TableContents"/>
              <w:bidi w:val="0"/>
              <w:spacing w:before="0" w:after="283"/>
              <w:jc w:val="start"/>
              <w:rPr>
                <w:position w:val="8"/>
                <w:sz w:val="19"/>
              </w:rPr>
            </w:pPr>
            <w:r>
              <w:rPr>
                <w:position w:val="8"/>
                <w:sz w:val="19"/>
              </w:rPr>
              <w:t xml:space="preserve">0. 044 </w:t>
            </w:r>
          </w:p>
        </w:tc>
        <w:tc>
          <w:tcPr>
            <w:tcW w:w="1906" w:type="dxa"/>
            <w:tcBorders/>
            <w:vAlign w:val="center"/>
          </w:tcPr>
          <w:p>
            <w:pPr>
              <w:pStyle w:val="TableContents"/>
              <w:bidi w:val="0"/>
              <w:spacing w:before="0" w:after="283"/>
              <w:jc w:val="start"/>
              <w:rPr>
                <w:position w:val="8"/>
                <w:sz w:val="19"/>
              </w:rPr>
            </w:pPr>
            <w:r>
              <w:rPr>
                <w:position w:val="8"/>
                <w:sz w:val="19"/>
              </w:rPr>
              <w:t xml:space="preserve">0. 530(0. 271-1. 034) </w:t>
            </w:r>
          </w:p>
        </w:tc>
      </w:tr>
      <w:tr>
        <w:trPr/>
        <w:tc>
          <w:tcPr>
            <w:tcW w:w="1081" w:type="dxa"/>
            <w:tcBorders/>
            <w:vAlign w:val="center"/>
          </w:tcPr>
          <w:p>
            <w:pPr>
              <w:pStyle w:val="TableContents"/>
              <w:bidi w:val="0"/>
              <w:spacing w:before="0" w:after="283"/>
              <w:jc w:val="start"/>
              <w:rPr>
                <w:position w:val="8"/>
                <w:sz w:val="19"/>
              </w:rPr>
            </w:pPr>
            <w:r>
              <w:rPr>
                <w:position w:val="8"/>
                <w:sz w:val="19"/>
              </w:rPr>
              <w:t xml:space="preserve">allele </w:t>
            </w:r>
          </w:p>
        </w:tc>
        <w:tc>
          <w:tcPr>
            <w:tcW w:w="1201" w:type="dxa"/>
            <w:tcBorders/>
            <w:vAlign w:val="center"/>
          </w:tcPr>
          <w:p>
            <w:pPr>
              <w:pStyle w:val="TableContents"/>
              <w:bidi w:val="0"/>
              <w:spacing w:before="0" w:after="283"/>
              <w:jc w:val="start"/>
              <w:rPr>
                <w:sz w:val="4"/>
                <w:szCs w:val="4"/>
              </w:rPr>
            </w:pPr>
            <w:r>
              <w:rPr>
                <w:sz w:val="4"/>
                <w:szCs w:val="4"/>
              </w:rPr>
            </w:r>
          </w:p>
        </w:tc>
        <w:tc>
          <w:tcPr>
            <w:tcW w:w="120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1906" w:type="dxa"/>
            <w:tcBorders/>
            <w:vAlign w:val="center"/>
          </w:tcPr>
          <w:p>
            <w:pPr>
              <w:pStyle w:val="TableContents"/>
              <w:bidi w:val="0"/>
              <w:spacing w:before="0" w:after="283"/>
              <w:jc w:val="start"/>
              <w:rPr>
                <w:sz w:val="4"/>
                <w:szCs w:val="4"/>
              </w:rPr>
            </w:pPr>
            <w:r>
              <w:rPr>
                <w:sz w:val="4"/>
                <w:szCs w:val="4"/>
              </w:rPr>
            </w:r>
          </w:p>
        </w:tc>
      </w:tr>
      <w:tr>
        <w:trPr/>
        <w:tc>
          <w:tcPr>
            <w:tcW w:w="1081" w:type="dxa"/>
            <w:tcBorders/>
            <w:vAlign w:val="center"/>
          </w:tcPr>
          <w:p>
            <w:pPr>
              <w:pStyle w:val="TableContents"/>
              <w:bidi w:val="0"/>
              <w:spacing w:before="0" w:after="283"/>
              <w:jc w:val="start"/>
              <w:rPr>
                <w:position w:val="8"/>
                <w:sz w:val="19"/>
              </w:rPr>
            </w:pPr>
            <w:r>
              <w:rPr>
                <w:position w:val="8"/>
                <w:sz w:val="19"/>
              </w:rPr>
              <w:t xml:space="preserve">A </w:t>
            </w:r>
          </w:p>
        </w:tc>
        <w:tc>
          <w:tcPr>
            <w:tcW w:w="1201" w:type="dxa"/>
            <w:tcBorders/>
            <w:vAlign w:val="center"/>
          </w:tcPr>
          <w:p>
            <w:pPr>
              <w:pStyle w:val="TableContents"/>
              <w:bidi w:val="0"/>
              <w:spacing w:before="0" w:after="283"/>
              <w:jc w:val="start"/>
              <w:rPr>
                <w:position w:val="8"/>
                <w:sz w:val="19"/>
              </w:rPr>
            </w:pPr>
            <w:r>
              <w:rPr>
                <w:position w:val="8"/>
                <w:sz w:val="19"/>
              </w:rPr>
              <w:t xml:space="preserve">123 (37. 7%) </w:t>
            </w:r>
          </w:p>
        </w:tc>
        <w:tc>
          <w:tcPr>
            <w:tcW w:w="1201" w:type="dxa"/>
            <w:tcBorders/>
            <w:vAlign w:val="center"/>
          </w:tcPr>
          <w:p>
            <w:pPr>
              <w:pStyle w:val="TableContents"/>
              <w:bidi w:val="0"/>
              <w:spacing w:before="0" w:after="283"/>
              <w:jc w:val="start"/>
              <w:rPr>
                <w:position w:val="8"/>
                <w:sz w:val="19"/>
              </w:rPr>
            </w:pPr>
            <w:r>
              <w:rPr>
                <w:position w:val="8"/>
                <w:sz w:val="19"/>
              </w:rPr>
              <w:t xml:space="preserve">168 (46. 7%) </w:t>
            </w:r>
          </w:p>
        </w:tc>
        <w:tc>
          <w:tcPr>
            <w:tcW w:w="751" w:type="dxa"/>
            <w:tcBorders/>
            <w:vAlign w:val="center"/>
          </w:tcPr>
          <w:p>
            <w:pPr>
              <w:pStyle w:val="TableContents"/>
              <w:bidi w:val="0"/>
              <w:spacing w:before="0" w:after="283"/>
              <w:jc w:val="start"/>
              <w:rPr>
                <w:sz w:val="4"/>
                <w:szCs w:val="4"/>
              </w:rPr>
            </w:pPr>
            <w:r>
              <w:rPr>
                <w:sz w:val="4"/>
                <w:szCs w:val="4"/>
              </w:rPr>
            </w:r>
          </w:p>
        </w:tc>
        <w:tc>
          <w:tcPr>
            <w:tcW w:w="1906" w:type="dxa"/>
            <w:tcBorders/>
            <w:vAlign w:val="center"/>
          </w:tcPr>
          <w:p>
            <w:pPr>
              <w:pStyle w:val="TableContents"/>
              <w:bidi w:val="0"/>
              <w:spacing w:before="0" w:after="283"/>
              <w:jc w:val="start"/>
              <w:rPr>
                <w:sz w:val="4"/>
                <w:szCs w:val="4"/>
              </w:rPr>
            </w:pPr>
            <w:r>
              <w:rPr>
                <w:sz w:val="4"/>
                <w:szCs w:val="4"/>
              </w:rPr>
            </w:r>
          </w:p>
        </w:tc>
      </w:tr>
      <w:tr>
        <w:trPr/>
        <w:tc>
          <w:tcPr>
            <w:tcW w:w="1081" w:type="dxa"/>
            <w:tcBorders/>
            <w:vAlign w:val="center"/>
          </w:tcPr>
          <w:p>
            <w:pPr>
              <w:pStyle w:val="TableContents"/>
              <w:bidi w:val="0"/>
              <w:spacing w:before="0" w:after="283"/>
              <w:jc w:val="start"/>
              <w:rPr>
                <w:position w:val="8"/>
                <w:sz w:val="19"/>
              </w:rPr>
            </w:pPr>
            <w:r>
              <w:rPr>
                <w:position w:val="8"/>
                <w:sz w:val="19"/>
              </w:rPr>
              <w:t xml:space="preserve">G </w:t>
            </w:r>
          </w:p>
        </w:tc>
        <w:tc>
          <w:tcPr>
            <w:tcW w:w="1201" w:type="dxa"/>
            <w:tcBorders/>
            <w:vAlign w:val="center"/>
          </w:tcPr>
          <w:p>
            <w:pPr>
              <w:pStyle w:val="TableContents"/>
              <w:bidi w:val="0"/>
              <w:spacing w:before="0" w:after="283"/>
              <w:jc w:val="start"/>
              <w:rPr>
                <w:position w:val="8"/>
                <w:sz w:val="19"/>
              </w:rPr>
            </w:pPr>
            <w:r>
              <w:rPr>
                <w:position w:val="8"/>
                <w:sz w:val="19"/>
              </w:rPr>
              <w:t xml:space="preserve">203 (62. 2%) </w:t>
            </w:r>
          </w:p>
        </w:tc>
        <w:tc>
          <w:tcPr>
            <w:tcW w:w="1201" w:type="dxa"/>
            <w:tcBorders/>
            <w:vAlign w:val="center"/>
          </w:tcPr>
          <w:p>
            <w:pPr>
              <w:pStyle w:val="TableContents"/>
              <w:bidi w:val="0"/>
              <w:spacing w:before="0" w:after="283"/>
              <w:jc w:val="start"/>
              <w:rPr>
                <w:position w:val="8"/>
                <w:sz w:val="19"/>
              </w:rPr>
            </w:pPr>
            <w:r>
              <w:rPr>
                <w:position w:val="8"/>
                <w:sz w:val="19"/>
              </w:rPr>
              <w:t xml:space="preserve">192 (53. 3%) </w:t>
            </w:r>
          </w:p>
        </w:tc>
        <w:tc>
          <w:tcPr>
            <w:tcW w:w="751" w:type="dxa"/>
            <w:tcBorders/>
            <w:vAlign w:val="center"/>
          </w:tcPr>
          <w:p>
            <w:pPr>
              <w:pStyle w:val="TableContents"/>
              <w:bidi w:val="0"/>
              <w:spacing w:before="0" w:after="283"/>
              <w:jc w:val="start"/>
              <w:rPr>
                <w:position w:val="8"/>
                <w:sz w:val="19"/>
              </w:rPr>
            </w:pPr>
            <w:r>
              <w:rPr>
                <w:position w:val="8"/>
                <w:sz w:val="19"/>
              </w:rPr>
              <w:t xml:space="preserve">0. 011 </w:t>
            </w:r>
          </w:p>
        </w:tc>
        <w:tc>
          <w:tcPr>
            <w:tcW w:w="1906" w:type="dxa"/>
            <w:tcBorders/>
            <w:vAlign w:val="center"/>
          </w:tcPr>
          <w:p>
            <w:pPr>
              <w:pStyle w:val="TableContents"/>
              <w:bidi w:val="0"/>
              <w:spacing w:before="0" w:after="283"/>
              <w:jc w:val="start"/>
              <w:rPr>
                <w:position w:val="8"/>
                <w:sz w:val="19"/>
              </w:rPr>
            </w:pPr>
            <w:r>
              <w:rPr>
                <w:position w:val="8"/>
                <w:sz w:val="19"/>
              </w:rPr>
              <w:t xml:space="preserve">1. 445(1. 064-1. 96) </w:t>
            </w:r>
          </w:p>
        </w:tc>
      </w:tr>
      <w:tr>
        <w:trPr/>
        <w:tc>
          <w:tcPr>
            <w:tcW w:w="1081" w:type="dxa"/>
            <w:tcBorders/>
            <w:vAlign w:val="center"/>
          </w:tcPr>
          <w:p>
            <w:pPr>
              <w:pStyle w:val="TableContents"/>
              <w:bidi w:val="0"/>
              <w:spacing w:before="0" w:after="283"/>
              <w:jc w:val="start"/>
              <w:rPr>
                <w:position w:val="8"/>
                <w:sz w:val="19"/>
              </w:rPr>
            </w:pPr>
            <w:r>
              <w:rPr>
                <w:position w:val="8"/>
                <w:sz w:val="19"/>
              </w:rPr>
              <w:t xml:space="preserve">Arg194Trp </w:t>
            </w:r>
          </w:p>
        </w:tc>
        <w:tc>
          <w:tcPr>
            <w:tcW w:w="1201" w:type="dxa"/>
            <w:tcBorders/>
            <w:vAlign w:val="center"/>
          </w:tcPr>
          <w:p>
            <w:pPr>
              <w:pStyle w:val="TableContents"/>
              <w:bidi w:val="0"/>
              <w:spacing w:before="0" w:after="283"/>
              <w:jc w:val="start"/>
              <w:rPr>
                <w:sz w:val="4"/>
                <w:szCs w:val="4"/>
              </w:rPr>
            </w:pPr>
            <w:r>
              <w:rPr>
                <w:sz w:val="4"/>
                <w:szCs w:val="4"/>
              </w:rPr>
            </w:r>
          </w:p>
        </w:tc>
        <w:tc>
          <w:tcPr>
            <w:tcW w:w="120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1906" w:type="dxa"/>
            <w:tcBorders/>
            <w:vAlign w:val="center"/>
          </w:tcPr>
          <w:p>
            <w:pPr>
              <w:pStyle w:val="TableContents"/>
              <w:bidi w:val="0"/>
              <w:spacing w:before="0" w:after="283"/>
              <w:jc w:val="start"/>
              <w:rPr>
                <w:sz w:val="4"/>
                <w:szCs w:val="4"/>
              </w:rPr>
            </w:pPr>
            <w:r>
              <w:rPr>
                <w:sz w:val="4"/>
                <w:szCs w:val="4"/>
              </w:rPr>
            </w:r>
          </w:p>
        </w:tc>
      </w:tr>
      <w:tr>
        <w:trPr/>
        <w:tc>
          <w:tcPr>
            <w:tcW w:w="1081" w:type="dxa"/>
            <w:tcBorders/>
            <w:vAlign w:val="center"/>
          </w:tcPr>
          <w:p>
            <w:pPr>
              <w:pStyle w:val="TableContents"/>
              <w:bidi w:val="0"/>
              <w:spacing w:before="0" w:after="283"/>
              <w:jc w:val="start"/>
              <w:rPr>
                <w:position w:val="8"/>
                <w:sz w:val="19"/>
              </w:rPr>
            </w:pPr>
            <w:r>
              <w:rPr>
                <w:position w:val="8"/>
                <w:sz w:val="19"/>
              </w:rPr>
              <w:t xml:space="preserve">CC </w:t>
            </w:r>
          </w:p>
        </w:tc>
        <w:tc>
          <w:tcPr>
            <w:tcW w:w="1201" w:type="dxa"/>
            <w:tcBorders/>
            <w:vAlign w:val="center"/>
          </w:tcPr>
          <w:p>
            <w:pPr>
              <w:pStyle w:val="TableContents"/>
              <w:bidi w:val="0"/>
              <w:spacing w:before="0" w:after="283"/>
              <w:jc w:val="start"/>
              <w:rPr>
                <w:position w:val="8"/>
                <w:sz w:val="19"/>
              </w:rPr>
            </w:pPr>
            <w:r>
              <w:rPr>
                <w:position w:val="8"/>
                <w:sz w:val="19"/>
              </w:rPr>
              <w:t xml:space="preserve">106 (65%) </w:t>
            </w:r>
          </w:p>
        </w:tc>
        <w:tc>
          <w:tcPr>
            <w:tcW w:w="1201" w:type="dxa"/>
            <w:tcBorders/>
            <w:vAlign w:val="center"/>
          </w:tcPr>
          <w:p>
            <w:pPr>
              <w:pStyle w:val="TableContents"/>
              <w:bidi w:val="0"/>
              <w:spacing w:before="0" w:after="283"/>
              <w:jc w:val="start"/>
              <w:rPr>
                <w:position w:val="8"/>
                <w:sz w:val="19"/>
              </w:rPr>
            </w:pPr>
            <w:r>
              <w:rPr>
                <w:position w:val="8"/>
                <w:sz w:val="19"/>
              </w:rPr>
              <w:t xml:space="preserve">112 (62. 2%) </w:t>
            </w:r>
          </w:p>
        </w:tc>
        <w:tc>
          <w:tcPr>
            <w:tcW w:w="751" w:type="dxa"/>
            <w:tcBorders/>
            <w:vAlign w:val="center"/>
          </w:tcPr>
          <w:p>
            <w:pPr>
              <w:pStyle w:val="TableContents"/>
              <w:bidi w:val="0"/>
              <w:spacing w:before="0" w:after="283"/>
              <w:jc w:val="start"/>
              <w:rPr>
                <w:sz w:val="4"/>
                <w:szCs w:val="4"/>
              </w:rPr>
            </w:pPr>
            <w:r>
              <w:rPr>
                <w:sz w:val="4"/>
                <w:szCs w:val="4"/>
              </w:rPr>
            </w:r>
          </w:p>
        </w:tc>
        <w:tc>
          <w:tcPr>
            <w:tcW w:w="1906" w:type="dxa"/>
            <w:tcBorders/>
            <w:vAlign w:val="center"/>
          </w:tcPr>
          <w:p>
            <w:pPr>
              <w:pStyle w:val="TableContents"/>
              <w:bidi w:val="0"/>
              <w:spacing w:before="0" w:after="283"/>
              <w:jc w:val="start"/>
              <w:rPr>
                <w:sz w:val="4"/>
                <w:szCs w:val="4"/>
              </w:rPr>
            </w:pPr>
            <w:r>
              <w:rPr>
                <w:sz w:val="4"/>
                <w:szCs w:val="4"/>
              </w:rPr>
            </w:r>
          </w:p>
        </w:tc>
      </w:tr>
      <w:tr>
        <w:trPr/>
        <w:tc>
          <w:tcPr>
            <w:tcW w:w="1081" w:type="dxa"/>
            <w:tcBorders/>
            <w:vAlign w:val="center"/>
          </w:tcPr>
          <w:p>
            <w:pPr>
              <w:pStyle w:val="TableContents"/>
              <w:bidi w:val="0"/>
              <w:spacing w:before="0" w:after="283"/>
              <w:jc w:val="start"/>
              <w:rPr>
                <w:position w:val="8"/>
                <w:sz w:val="19"/>
              </w:rPr>
            </w:pPr>
            <w:r>
              <w:rPr>
                <w:position w:val="8"/>
                <w:sz w:val="19"/>
              </w:rPr>
              <w:t xml:space="preserve">CT </w:t>
            </w:r>
          </w:p>
        </w:tc>
        <w:tc>
          <w:tcPr>
            <w:tcW w:w="1201" w:type="dxa"/>
            <w:tcBorders/>
            <w:vAlign w:val="center"/>
          </w:tcPr>
          <w:p>
            <w:pPr>
              <w:pStyle w:val="TableContents"/>
              <w:bidi w:val="0"/>
              <w:spacing w:before="0" w:after="283"/>
              <w:jc w:val="start"/>
              <w:rPr>
                <w:position w:val="8"/>
                <w:sz w:val="19"/>
              </w:rPr>
            </w:pPr>
            <w:r>
              <w:rPr>
                <w:position w:val="8"/>
                <w:sz w:val="19"/>
              </w:rPr>
              <w:t xml:space="preserve">52 (32%) </w:t>
            </w:r>
          </w:p>
        </w:tc>
        <w:tc>
          <w:tcPr>
            <w:tcW w:w="1201" w:type="dxa"/>
            <w:tcBorders/>
            <w:vAlign w:val="center"/>
          </w:tcPr>
          <w:p>
            <w:pPr>
              <w:pStyle w:val="TableContents"/>
              <w:bidi w:val="0"/>
              <w:spacing w:before="0" w:after="283"/>
              <w:jc w:val="start"/>
              <w:rPr>
                <w:position w:val="8"/>
                <w:sz w:val="19"/>
              </w:rPr>
            </w:pPr>
            <w:r>
              <w:rPr>
                <w:position w:val="8"/>
                <w:sz w:val="19"/>
              </w:rPr>
              <w:t xml:space="preserve">65 (36. 1%) </w:t>
            </w:r>
          </w:p>
        </w:tc>
        <w:tc>
          <w:tcPr>
            <w:tcW w:w="751" w:type="dxa"/>
            <w:tcBorders/>
            <w:vAlign w:val="center"/>
          </w:tcPr>
          <w:p>
            <w:pPr>
              <w:pStyle w:val="TableContents"/>
              <w:bidi w:val="0"/>
              <w:spacing w:before="0" w:after="283"/>
              <w:jc w:val="start"/>
              <w:rPr>
                <w:position w:val="8"/>
                <w:sz w:val="19"/>
              </w:rPr>
            </w:pPr>
            <w:r>
              <w:rPr>
                <w:position w:val="8"/>
                <w:sz w:val="19"/>
              </w:rPr>
              <w:t xml:space="preserve">0. 269 </w:t>
            </w:r>
          </w:p>
        </w:tc>
        <w:tc>
          <w:tcPr>
            <w:tcW w:w="1906" w:type="dxa"/>
            <w:tcBorders/>
            <w:vAlign w:val="center"/>
          </w:tcPr>
          <w:p>
            <w:pPr>
              <w:pStyle w:val="TableContents"/>
              <w:bidi w:val="0"/>
              <w:spacing w:before="0" w:after="283"/>
              <w:jc w:val="start"/>
              <w:rPr>
                <w:position w:val="8"/>
                <w:sz w:val="19"/>
              </w:rPr>
            </w:pPr>
            <w:r>
              <w:rPr>
                <w:position w:val="8"/>
                <w:sz w:val="19"/>
              </w:rPr>
              <w:t xml:space="preserve">0. 845(0. 538-1. 328) </w:t>
            </w:r>
          </w:p>
        </w:tc>
      </w:tr>
      <w:tr>
        <w:trPr/>
        <w:tc>
          <w:tcPr>
            <w:tcW w:w="1081" w:type="dxa"/>
            <w:tcBorders/>
            <w:vAlign w:val="center"/>
          </w:tcPr>
          <w:p>
            <w:pPr>
              <w:pStyle w:val="TableContents"/>
              <w:bidi w:val="0"/>
              <w:spacing w:before="0" w:after="283"/>
              <w:jc w:val="start"/>
              <w:rPr>
                <w:position w:val="8"/>
                <w:sz w:val="19"/>
              </w:rPr>
            </w:pPr>
            <w:r>
              <w:rPr>
                <w:position w:val="8"/>
                <w:sz w:val="19"/>
              </w:rPr>
              <w:t xml:space="preserve">TT </w:t>
            </w:r>
          </w:p>
        </w:tc>
        <w:tc>
          <w:tcPr>
            <w:tcW w:w="1201" w:type="dxa"/>
            <w:tcBorders/>
            <w:vAlign w:val="center"/>
          </w:tcPr>
          <w:p>
            <w:pPr>
              <w:pStyle w:val="TableContents"/>
              <w:bidi w:val="0"/>
              <w:spacing w:before="0" w:after="283"/>
              <w:jc w:val="start"/>
              <w:rPr>
                <w:position w:val="8"/>
                <w:sz w:val="19"/>
              </w:rPr>
            </w:pPr>
            <w:r>
              <w:rPr>
                <w:position w:val="8"/>
                <w:sz w:val="19"/>
              </w:rPr>
              <w:t xml:space="preserve">5 (3%) </w:t>
            </w:r>
          </w:p>
        </w:tc>
        <w:tc>
          <w:tcPr>
            <w:tcW w:w="1201" w:type="dxa"/>
            <w:tcBorders/>
            <w:vAlign w:val="center"/>
          </w:tcPr>
          <w:p>
            <w:pPr>
              <w:pStyle w:val="TableContents"/>
              <w:bidi w:val="0"/>
              <w:spacing w:before="0" w:after="283"/>
              <w:jc w:val="start"/>
              <w:rPr>
                <w:position w:val="8"/>
                <w:sz w:val="19"/>
              </w:rPr>
            </w:pPr>
            <w:r>
              <w:rPr>
                <w:position w:val="8"/>
                <w:sz w:val="19"/>
              </w:rPr>
              <w:t xml:space="preserve">3 (1. 7%) </w:t>
            </w:r>
          </w:p>
        </w:tc>
        <w:tc>
          <w:tcPr>
            <w:tcW w:w="751" w:type="dxa"/>
            <w:tcBorders/>
            <w:vAlign w:val="center"/>
          </w:tcPr>
          <w:p>
            <w:pPr>
              <w:pStyle w:val="TableContents"/>
              <w:bidi w:val="0"/>
              <w:spacing w:before="0" w:after="283"/>
              <w:jc w:val="start"/>
              <w:rPr>
                <w:position w:val="8"/>
                <w:sz w:val="19"/>
              </w:rPr>
            </w:pPr>
            <w:r>
              <w:rPr>
                <w:position w:val="8"/>
                <w:sz w:val="19"/>
              </w:rPr>
              <w:t xml:space="preserve">0. 341 </w:t>
            </w:r>
          </w:p>
        </w:tc>
        <w:tc>
          <w:tcPr>
            <w:tcW w:w="1906" w:type="dxa"/>
            <w:tcBorders/>
            <w:vAlign w:val="center"/>
          </w:tcPr>
          <w:p>
            <w:pPr>
              <w:pStyle w:val="TableContents"/>
              <w:bidi w:val="0"/>
              <w:spacing w:before="0" w:after="283"/>
              <w:jc w:val="start"/>
              <w:rPr>
                <w:position w:val="8"/>
                <w:sz w:val="19"/>
              </w:rPr>
            </w:pPr>
            <w:r>
              <w:rPr>
                <w:position w:val="8"/>
                <w:sz w:val="19"/>
              </w:rPr>
              <w:t xml:space="preserve">1. 76(0. 41-7. 575) </w:t>
            </w:r>
          </w:p>
        </w:tc>
      </w:tr>
      <w:tr>
        <w:trPr/>
        <w:tc>
          <w:tcPr>
            <w:tcW w:w="1081" w:type="dxa"/>
            <w:tcBorders/>
            <w:vAlign w:val="center"/>
          </w:tcPr>
          <w:p>
            <w:pPr>
              <w:pStyle w:val="TableContents"/>
              <w:bidi w:val="0"/>
              <w:spacing w:before="0" w:after="283"/>
              <w:jc w:val="start"/>
              <w:rPr>
                <w:position w:val="8"/>
                <w:sz w:val="19"/>
              </w:rPr>
            </w:pPr>
            <w:r>
              <w:rPr>
                <w:position w:val="8"/>
                <w:sz w:val="19"/>
              </w:rPr>
              <w:t xml:space="preserve">allele </w:t>
            </w:r>
          </w:p>
        </w:tc>
        <w:tc>
          <w:tcPr>
            <w:tcW w:w="1201" w:type="dxa"/>
            <w:tcBorders/>
            <w:vAlign w:val="center"/>
          </w:tcPr>
          <w:p>
            <w:pPr>
              <w:pStyle w:val="TableContents"/>
              <w:bidi w:val="0"/>
              <w:spacing w:before="0" w:after="283"/>
              <w:jc w:val="start"/>
              <w:rPr>
                <w:sz w:val="4"/>
                <w:szCs w:val="4"/>
              </w:rPr>
            </w:pPr>
            <w:r>
              <w:rPr>
                <w:sz w:val="4"/>
                <w:szCs w:val="4"/>
              </w:rPr>
            </w:r>
          </w:p>
        </w:tc>
        <w:tc>
          <w:tcPr>
            <w:tcW w:w="1201" w:type="dxa"/>
            <w:tcBorders/>
            <w:vAlign w:val="center"/>
          </w:tcPr>
          <w:p>
            <w:pPr>
              <w:pStyle w:val="TableContents"/>
              <w:bidi w:val="0"/>
              <w:spacing w:before="0" w:after="283"/>
              <w:jc w:val="start"/>
              <w:rPr>
                <w:sz w:val="4"/>
                <w:szCs w:val="4"/>
              </w:rPr>
            </w:pPr>
            <w:r>
              <w:rPr>
                <w:sz w:val="4"/>
                <w:szCs w:val="4"/>
              </w:rPr>
            </w:r>
          </w:p>
        </w:tc>
        <w:tc>
          <w:tcPr>
            <w:tcW w:w="751" w:type="dxa"/>
            <w:tcBorders/>
            <w:vAlign w:val="center"/>
          </w:tcPr>
          <w:p>
            <w:pPr>
              <w:pStyle w:val="TableContents"/>
              <w:bidi w:val="0"/>
              <w:spacing w:before="0" w:after="283"/>
              <w:jc w:val="start"/>
              <w:rPr>
                <w:sz w:val="4"/>
                <w:szCs w:val="4"/>
              </w:rPr>
            </w:pPr>
            <w:r>
              <w:rPr>
                <w:sz w:val="4"/>
                <w:szCs w:val="4"/>
              </w:rPr>
            </w:r>
          </w:p>
        </w:tc>
        <w:tc>
          <w:tcPr>
            <w:tcW w:w="1906" w:type="dxa"/>
            <w:tcBorders/>
            <w:vAlign w:val="center"/>
          </w:tcPr>
          <w:p>
            <w:pPr>
              <w:pStyle w:val="TableContents"/>
              <w:bidi w:val="0"/>
              <w:spacing w:before="0" w:after="283"/>
              <w:jc w:val="start"/>
              <w:rPr>
                <w:sz w:val="4"/>
                <w:szCs w:val="4"/>
              </w:rPr>
            </w:pPr>
            <w:r>
              <w:rPr>
                <w:sz w:val="4"/>
                <w:szCs w:val="4"/>
              </w:rPr>
            </w:r>
          </w:p>
        </w:tc>
      </w:tr>
      <w:tr>
        <w:trPr/>
        <w:tc>
          <w:tcPr>
            <w:tcW w:w="1081" w:type="dxa"/>
            <w:tcBorders/>
            <w:vAlign w:val="center"/>
          </w:tcPr>
          <w:p>
            <w:pPr>
              <w:pStyle w:val="TableContents"/>
              <w:bidi w:val="0"/>
              <w:spacing w:before="0" w:after="283"/>
              <w:jc w:val="start"/>
              <w:rPr>
                <w:position w:val="8"/>
                <w:sz w:val="19"/>
              </w:rPr>
            </w:pPr>
            <w:r>
              <w:rPr>
                <w:position w:val="8"/>
                <w:sz w:val="19"/>
              </w:rPr>
              <w:t xml:space="preserve">C </w:t>
            </w:r>
          </w:p>
        </w:tc>
        <w:tc>
          <w:tcPr>
            <w:tcW w:w="1201" w:type="dxa"/>
            <w:tcBorders/>
            <w:vAlign w:val="center"/>
          </w:tcPr>
          <w:p>
            <w:pPr>
              <w:pStyle w:val="TableContents"/>
              <w:bidi w:val="0"/>
              <w:spacing w:before="0" w:after="283"/>
              <w:jc w:val="start"/>
              <w:rPr>
                <w:position w:val="8"/>
                <w:sz w:val="19"/>
              </w:rPr>
            </w:pPr>
            <w:r>
              <w:rPr>
                <w:position w:val="8"/>
                <w:sz w:val="19"/>
              </w:rPr>
              <w:t xml:space="preserve">264 (81%) </w:t>
            </w:r>
          </w:p>
        </w:tc>
        <w:tc>
          <w:tcPr>
            <w:tcW w:w="1201" w:type="dxa"/>
            <w:tcBorders/>
            <w:vAlign w:val="center"/>
          </w:tcPr>
          <w:p>
            <w:pPr>
              <w:pStyle w:val="TableContents"/>
              <w:bidi w:val="0"/>
              <w:spacing w:before="0" w:after="283"/>
              <w:jc w:val="start"/>
              <w:rPr>
                <w:position w:val="8"/>
                <w:sz w:val="19"/>
              </w:rPr>
            </w:pPr>
            <w:r>
              <w:rPr>
                <w:position w:val="8"/>
                <w:sz w:val="19"/>
              </w:rPr>
              <w:t xml:space="preserve">289 (80. 3%) </w:t>
            </w:r>
          </w:p>
        </w:tc>
        <w:tc>
          <w:tcPr>
            <w:tcW w:w="751" w:type="dxa"/>
            <w:tcBorders/>
            <w:vAlign w:val="center"/>
          </w:tcPr>
          <w:p>
            <w:pPr>
              <w:pStyle w:val="TableContents"/>
              <w:bidi w:val="0"/>
              <w:spacing w:before="0" w:after="283"/>
              <w:jc w:val="start"/>
              <w:rPr>
                <w:sz w:val="4"/>
                <w:szCs w:val="4"/>
              </w:rPr>
            </w:pPr>
            <w:r>
              <w:rPr>
                <w:sz w:val="4"/>
                <w:szCs w:val="4"/>
              </w:rPr>
            </w:r>
          </w:p>
        </w:tc>
        <w:tc>
          <w:tcPr>
            <w:tcW w:w="1906" w:type="dxa"/>
            <w:tcBorders/>
            <w:vAlign w:val="center"/>
          </w:tcPr>
          <w:p>
            <w:pPr>
              <w:pStyle w:val="TableContents"/>
              <w:bidi w:val="0"/>
              <w:spacing w:before="0" w:after="283"/>
              <w:jc w:val="start"/>
              <w:rPr>
                <w:sz w:val="4"/>
                <w:szCs w:val="4"/>
              </w:rPr>
            </w:pPr>
            <w:r>
              <w:rPr>
                <w:sz w:val="4"/>
                <w:szCs w:val="4"/>
              </w:rPr>
            </w:r>
          </w:p>
        </w:tc>
      </w:tr>
      <w:tr>
        <w:trPr/>
        <w:tc>
          <w:tcPr>
            <w:tcW w:w="1081" w:type="dxa"/>
            <w:tcBorders/>
            <w:vAlign w:val="center"/>
          </w:tcPr>
          <w:p>
            <w:pPr>
              <w:pStyle w:val="TableContents"/>
              <w:bidi w:val="0"/>
              <w:spacing w:before="0" w:after="283"/>
              <w:jc w:val="start"/>
              <w:rPr>
                <w:position w:val="8"/>
                <w:sz w:val="19"/>
              </w:rPr>
            </w:pPr>
            <w:r>
              <w:rPr>
                <w:position w:val="8"/>
                <w:sz w:val="19"/>
              </w:rPr>
              <w:t xml:space="preserve">T </w:t>
            </w:r>
          </w:p>
        </w:tc>
        <w:tc>
          <w:tcPr>
            <w:tcW w:w="1201" w:type="dxa"/>
            <w:tcBorders/>
            <w:vAlign w:val="center"/>
          </w:tcPr>
          <w:p>
            <w:pPr>
              <w:pStyle w:val="TableContents"/>
              <w:bidi w:val="0"/>
              <w:spacing w:before="0" w:after="283"/>
              <w:jc w:val="start"/>
              <w:rPr>
                <w:position w:val="8"/>
                <w:sz w:val="19"/>
              </w:rPr>
            </w:pPr>
            <w:r>
              <w:rPr>
                <w:position w:val="8"/>
                <w:sz w:val="19"/>
              </w:rPr>
              <w:t xml:space="preserve">62 (19%) </w:t>
            </w:r>
          </w:p>
        </w:tc>
        <w:tc>
          <w:tcPr>
            <w:tcW w:w="1201" w:type="dxa"/>
            <w:tcBorders/>
            <w:vAlign w:val="center"/>
          </w:tcPr>
          <w:p>
            <w:pPr>
              <w:pStyle w:val="TableContents"/>
              <w:bidi w:val="0"/>
              <w:spacing w:before="0" w:after="283"/>
              <w:jc w:val="start"/>
              <w:rPr>
                <w:position w:val="8"/>
                <w:sz w:val="19"/>
              </w:rPr>
            </w:pPr>
            <w:r>
              <w:rPr>
                <w:position w:val="8"/>
                <w:sz w:val="19"/>
              </w:rPr>
              <w:t xml:space="preserve">71 (19. 7) </w:t>
            </w:r>
          </w:p>
        </w:tc>
        <w:tc>
          <w:tcPr>
            <w:tcW w:w="751" w:type="dxa"/>
            <w:tcBorders/>
            <w:vAlign w:val="center"/>
          </w:tcPr>
          <w:p>
            <w:pPr>
              <w:pStyle w:val="TableContents"/>
              <w:bidi w:val="0"/>
              <w:spacing w:before="0" w:after="283"/>
              <w:jc w:val="start"/>
              <w:rPr>
                <w:position w:val="8"/>
                <w:sz w:val="19"/>
              </w:rPr>
            </w:pPr>
            <w:r>
              <w:rPr>
                <w:position w:val="8"/>
                <w:sz w:val="19"/>
              </w:rPr>
              <w:t xml:space="preserve">0. 446 </w:t>
            </w:r>
          </w:p>
        </w:tc>
        <w:tc>
          <w:tcPr>
            <w:tcW w:w="1906" w:type="dxa"/>
            <w:tcBorders/>
            <w:vAlign w:val="center"/>
          </w:tcPr>
          <w:p>
            <w:pPr>
              <w:pStyle w:val="TableContents"/>
              <w:bidi w:val="0"/>
              <w:spacing w:before="0" w:after="283"/>
              <w:jc w:val="start"/>
              <w:rPr>
                <w:position w:val="8"/>
                <w:sz w:val="19"/>
              </w:rPr>
            </w:pPr>
            <w:r>
              <w:rPr>
                <w:position w:val="8"/>
                <w:sz w:val="19"/>
              </w:rPr>
              <w:t xml:space="preserve">0. 939(0. 654-1. 396) </w:t>
            </w:r>
          </w:p>
        </w:tc>
      </w:tr>
    </w:tbl>
    <w:p>
      <w:pPr>
        <w:pStyle w:val="TextBody"/>
        <w:bidi w:val="0"/>
        <w:spacing w:before="0" w:after="283"/>
        <w:jc w:val="start"/>
        <w:rPr/>
      </w:pPr>
      <w:r>
        <w:rPr/>
        <w:t xml:space="preserve">Four haplotypes of the XRCC1 consist of two-alleles of each polymorphism site is shown in table 4 </w:t>
      </w:r>
      <w:r>
        <w:rPr>
          <w:position w:val="8"/>
          <w:sz w:val="19"/>
        </w:rPr>
        <w:t xml:space="preserve">. </w:t>
      </w:r>
      <w:r>
        <w:rPr/>
        <w:t xml:space="preserve">we found a rise in AT haplotype frequency in patients affected with SLE that can be regarded as risk factor for this disease. </w:t>
      </w:r>
    </w:p>
    <w:p>
      <w:pPr>
        <w:pStyle w:val="TextBody"/>
        <w:bidi w:val="0"/>
        <w:spacing w:before="0" w:after="283"/>
        <w:jc w:val="start"/>
        <w:rPr/>
      </w:pPr>
      <w:r>
        <w:rPr/>
        <w:t xml:space="preserve">Table 4. observed haplotype of rs1799782 and rs25484 </w:t>
      </w:r>
    </w:p>
    <w:tbl>
      <w:tblPr>
        <w:tblW w:w="6995" w:type="dxa"/>
        <w:jc w:val="start"/>
        <w:tblInd w:w="0" w:type="dxa"/>
        <w:tblLayout w:type="fixed"/>
        <w:tblCellMar>
          <w:top w:w="28" w:type="dxa"/>
          <w:start w:w="28" w:type="dxa"/>
          <w:bottom w:w="28" w:type="dxa"/>
          <w:end w:w="28" w:type="dxa"/>
        </w:tblCellMar>
      </w:tblPr>
      <w:tblGrid>
        <w:gridCol w:w="2191"/>
        <w:gridCol w:w="766"/>
        <w:gridCol w:w="826"/>
        <w:gridCol w:w="856"/>
        <w:gridCol w:w="2356"/>
      </w:tblGrid>
      <w:tr>
        <w:trPr/>
        <w:tc>
          <w:tcPr>
            <w:tcW w:w="2191" w:type="dxa"/>
            <w:tcBorders/>
            <w:vAlign w:val="center"/>
          </w:tcPr>
          <w:p>
            <w:pPr>
              <w:pStyle w:val="TableContents"/>
              <w:bidi w:val="0"/>
              <w:jc w:val="start"/>
              <w:rPr/>
            </w:pPr>
            <w:r>
              <w:rPr/>
              <w:t xml:space="preserve">haplotype </w:t>
            </w:r>
          </w:p>
          <w:p>
            <w:pPr>
              <w:pStyle w:val="TableContents"/>
              <w:bidi w:val="0"/>
              <w:spacing w:before="0" w:after="283"/>
              <w:jc w:val="start"/>
              <w:rPr/>
            </w:pPr>
            <w:r>
              <w:rPr/>
              <w:t xml:space="preserve">rs25484 – rs1799782 </w:t>
            </w:r>
          </w:p>
        </w:tc>
        <w:tc>
          <w:tcPr>
            <w:tcW w:w="766" w:type="dxa"/>
            <w:tcBorders/>
            <w:vAlign w:val="center"/>
          </w:tcPr>
          <w:p>
            <w:pPr>
              <w:pStyle w:val="TableContents"/>
              <w:bidi w:val="0"/>
              <w:spacing w:before="0" w:after="283"/>
              <w:jc w:val="start"/>
              <w:rPr/>
            </w:pPr>
            <w:r>
              <w:rPr/>
              <w:t xml:space="preserve">case </w:t>
            </w:r>
          </w:p>
        </w:tc>
        <w:tc>
          <w:tcPr>
            <w:tcW w:w="826" w:type="dxa"/>
            <w:tcBorders/>
            <w:vAlign w:val="center"/>
          </w:tcPr>
          <w:p>
            <w:pPr>
              <w:pStyle w:val="TableContents"/>
              <w:bidi w:val="0"/>
              <w:spacing w:before="0" w:after="283"/>
              <w:jc w:val="start"/>
              <w:rPr/>
            </w:pPr>
            <w:r>
              <w:rPr/>
              <w:t xml:space="preserve">control </w:t>
            </w:r>
          </w:p>
        </w:tc>
        <w:tc>
          <w:tcPr>
            <w:tcW w:w="856" w:type="dxa"/>
            <w:tcBorders/>
            <w:vAlign w:val="center"/>
          </w:tcPr>
          <w:p>
            <w:pPr>
              <w:pStyle w:val="TableContents"/>
              <w:bidi w:val="0"/>
              <w:spacing w:before="0" w:after="283"/>
              <w:jc w:val="start"/>
              <w:rPr/>
            </w:pPr>
            <w:r>
              <w:rPr/>
              <w:t xml:space="preserve">p value </w:t>
            </w:r>
          </w:p>
        </w:tc>
        <w:tc>
          <w:tcPr>
            <w:tcW w:w="2356" w:type="dxa"/>
            <w:tcBorders/>
            <w:vAlign w:val="center"/>
          </w:tcPr>
          <w:p>
            <w:pPr>
              <w:pStyle w:val="TableContents"/>
              <w:bidi w:val="0"/>
              <w:spacing w:before="0" w:after="283"/>
              <w:jc w:val="start"/>
              <w:rPr/>
            </w:pPr>
            <w:r>
              <w:rPr/>
              <w:t xml:space="preserve">OR </w:t>
            </w:r>
          </w:p>
        </w:tc>
      </w:tr>
      <w:tr>
        <w:trPr/>
        <w:tc>
          <w:tcPr>
            <w:tcW w:w="2191" w:type="dxa"/>
            <w:tcBorders/>
            <w:vAlign w:val="center"/>
          </w:tcPr>
          <w:p>
            <w:pPr>
              <w:pStyle w:val="TableContents"/>
              <w:bidi w:val="0"/>
              <w:spacing w:before="0" w:after="283"/>
              <w:jc w:val="start"/>
              <w:rPr/>
            </w:pPr>
            <w:r>
              <w:rPr/>
              <w:t xml:space="preserve">AC </w:t>
            </w:r>
          </w:p>
        </w:tc>
        <w:tc>
          <w:tcPr>
            <w:tcW w:w="766" w:type="dxa"/>
            <w:tcBorders/>
            <w:vAlign w:val="center"/>
          </w:tcPr>
          <w:p>
            <w:pPr>
              <w:pStyle w:val="TableContents"/>
              <w:bidi w:val="0"/>
              <w:spacing w:before="0" w:after="283"/>
              <w:jc w:val="start"/>
              <w:rPr/>
            </w:pPr>
            <w:r>
              <w:rPr/>
              <w:t xml:space="preserve">0. 578 </w:t>
            </w:r>
          </w:p>
        </w:tc>
        <w:tc>
          <w:tcPr>
            <w:tcW w:w="826" w:type="dxa"/>
            <w:tcBorders/>
            <w:vAlign w:val="center"/>
          </w:tcPr>
          <w:p>
            <w:pPr>
              <w:pStyle w:val="TableContents"/>
              <w:bidi w:val="0"/>
              <w:spacing w:before="0" w:after="283"/>
              <w:jc w:val="start"/>
              <w:rPr/>
            </w:pPr>
            <w:r>
              <w:rPr/>
              <w:t xml:space="preserve">0. 544 </w:t>
            </w:r>
          </w:p>
        </w:tc>
        <w:tc>
          <w:tcPr>
            <w:tcW w:w="856" w:type="dxa"/>
            <w:tcBorders/>
            <w:vAlign w:val="center"/>
          </w:tcPr>
          <w:p>
            <w:pPr>
              <w:pStyle w:val="TableContents"/>
              <w:bidi w:val="0"/>
              <w:spacing w:before="0" w:after="283"/>
              <w:jc w:val="start"/>
              <w:rPr/>
            </w:pPr>
            <w:r>
              <w:rPr/>
              <w:t xml:space="preserve">0. 109 </w:t>
            </w:r>
          </w:p>
        </w:tc>
        <w:tc>
          <w:tcPr>
            <w:tcW w:w="2356" w:type="dxa"/>
            <w:tcBorders/>
            <w:vAlign w:val="center"/>
          </w:tcPr>
          <w:p>
            <w:pPr>
              <w:pStyle w:val="TableContents"/>
              <w:bidi w:val="0"/>
              <w:spacing w:before="0" w:after="283"/>
              <w:jc w:val="start"/>
              <w:rPr/>
            </w:pPr>
            <w:r>
              <w:rPr/>
              <w:t xml:space="preserve">1. 28 (0. 946 – 1. 732) </w:t>
            </w:r>
          </w:p>
        </w:tc>
      </w:tr>
      <w:tr>
        <w:trPr/>
        <w:tc>
          <w:tcPr>
            <w:tcW w:w="2191" w:type="dxa"/>
            <w:tcBorders/>
            <w:vAlign w:val="center"/>
          </w:tcPr>
          <w:p>
            <w:pPr>
              <w:pStyle w:val="TableContents"/>
              <w:bidi w:val="0"/>
              <w:spacing w:before="0" w:after="283"/>
              <w:jc w:val="start"/>
              <w:rPr/>
            </w:pPr>
            <w:r>
              <w:rPr/>
              <w:t xml:space="preserve">GC </w:t>
            </w:r>
          </w:p>
        </w:tc>
        <w:tc>
          <w:tcPr>
            <w:tcW w:w="766" w:type="dxa"/>
            <w:tcBorders/>
            <w:vAlign w:val="center"/>
          </w:tcPr>
          <w:p>
            <w:pPr>
              <w:pStyle w:val="TableContents"/>
              <w:bidi w:val="0"/>
              <w:spacing w:before="0" w:after="283"/>
              <w:jc w:val="start"/>
              <w:rPr/>
            </w:pPr>
            <w:r>
              <w:rPr/>
              <w:t xml:space="preserve">0. 231 </w:t>
            </w:r>
          </w:p>
        </w:tc>
        <w:tc>
          <w:tcPr>
            <w:tcW w:w="826" w:type="dxa"/>
            <w:tcBorders/>
            <w:vAlign w:val="center"/>
          </w:tcPr>
          <w:p>
            <w:pPr>
              <w:pStyle w:val="TableContents"/>
              <w:bidi w:val="0"/>
              <w:spacing w:before="0" w:after="283"/>
              <w:jc w:val="start"/>
              <w:rPr/>
            </w:pPr>
            <w:r>
              <w:rPr/>
              <w:t xml:space="preserve">0. 263 </w:t>
            </w:r>
          </w:p>
        </w:tc>
        <w:tc>
          <w:tcPr>
            <w:tcW w:w="856" w:type="dxa"/>
            <w:tcBorders/>
            <w:vAlign w:val="center"/>
          </w:tcPr>
          <w:p>
            <w:pPr>
              <w:pStyle w:val="TableContents"/>
              <w:bidi w:val="0"/>
              <w:spacing w:before="0" w:after="283"/>
              <w:jc w:val="start"/>
              <w:rPr/>
            </w:pPr>
            <w:r>
              <w:rPr/>
              <w:t xml:space="preserve">0. 089 </w:t>
            </w:r>
          </w:p>
        </w:tc>
        <w:tc>
          <w:tcPr>
            <w:tcW w:w="2356" w:type="dxa"/>
            <w:tcBorders/>
            <w:vAlign w:val="center"/>
          </w:tcPr>
          <w:p>
            <w:pPr>
              <w:pStyle w:val="TableContents"/>
              <w:bidi w:val="0"/>
              <w:spacing w:before="0" w:after="283"/>
              <w:jc w:val="start"/>
              <w:rPr/>
            </w:pPr>
            <w:r>
              <w:rPr/>
              <w:t xml:space="preserve">0. 74(0. 523 – 1. 047) </w:t>
            </w:r>
          </w:p>
        </w:tc>
      </w:tr>
      <w:tr>
        <w:trPr/>
        <w:tc>
          <w:tcPr>
            <w:tcW w:w="2191" w:type="dxa"/>
            <w:tcBorders/>
            <w:vAlign w:val="center"/>
          </w:tcPr>
          <w:p>
            <w:pPr>
              <w:pStyle w:val="TableContents"/>
              <w:bidi w:val="0"/>
              <w:spacing w:before="0" w:after="283"/>
              <w:jc w:val="start"/>
              <w:rPr/>
            </w:pPr>
            <w:r>
              <w:rPr/>
              <w:t xml:space="preserve">GT </w:t>
            </w:r>
          </w:p>
        </w:tc>
        <w:tc>
          <w:tcPr>
            <w:tcW w:w="766" w:type="dxa"/>
            <w:tcBorders/>
            <w:vAlign w:val="center"/>
          </w:tcPr>
          <w:p>
            <w:pPr>
              <w:pStyle w:val="TableContents"/>
              <w:bidi w:val="0"/>
              <w:spacing w:before="0" w:after="283"/>
              <w:jc w:val="start"/>
              <w:rPr/>
            </w:pPr>
            <w:r>
              <w:rPr/>
              <w:t xml:space="preserve">0. 145 </w:t>
            </w:r>
          </w:p>
        </w:tc>
        <w:tc>
          <w:tcPr>
            <w:tcW w:w="826" w:type="dxa"/>
            <w:tcBorders/>
            <w:vAlign w:val="center"/>
          </w:tcPr>
          <w:p>
            <w:pPr>
              <w:pStyle w:val="TableContents"/>
              <w:bidi w:val="0"/>
              <w:spacing w:before="0" w:after="283"/>
              <w:jc w:val="start"/>
              <w:rPr/>
            </w:pPr>
            <w:r>
              <w:rPr/>
              <w:t xml:space="preserve">0. 16 </w:t>
            </w:r>
          </w:p>
        </w:tc>
        <w:tc>
          <w:tcPr>
            <w:tcW w:w="856" w:type="dxa"/>
            <w:tcBorders/>
            <w:vAlign w:val="center"/>
          </w:tcPr>
          <w:p>
            <w:pPr>
              <w:pStyle w:val="TableContents"/>
              <w:bidi w:val="0"/>
              <w:spacing w:before="0" w:after="283"/>
              <w:jc w:val="start"/>
              <w:rPr/>
            </w:pPr>
            <w:r>
              <w:rPr/>
              <w:t xml:space="preserve">0. 255 </w:t>
            </w:r>
          </w:p>
        </w:tc>
        <w:tc>
          <w:tcPr>
            <w:tcW w:w="2356" w:type="dxa"/>
            <w:tcBorders/>
            <w:vAlign w:val="center"/>
          </w:tcPr>
          <w:p>
            <w:pPr>
              <w:pStyle w:val="TableContents"/>
              <w:bidi w:val="0"/>
              <w:spacing w:before="0" w:after="283"/>
              <w:jc w:val="start"/>
              <w:rPr/>
            </w:pPr>
            <w:r>
              <w:rPr/>
              <w:t xml:space="preserve">0. 792 (0. 53 – 1. 184) </w:t>
            </w:r>
          </w:p>
        </w:tc>
      </w:tr>
      <w:tr>
        <w:trPr/>
        <w:tc>
          <w:tcPr>
            <w:tcW w:w="2191" w:type="dxa"/>
            <w:tcBorders/>
            <w:vAlign w:val="center"/>
          </w:tcPr>
          <w:p>
            <w:pPr>
              <w:pStyle w:val="TableContents"/>
              <w:bidi w:val="0"/>
              <w:spacing w:before="0" w:after="283"/>
              <w:jc w:val="start"/>
              <w:rPr/>
            </w:pPr>
            <w:r>
              <w:rPr/>
              <w:t xml:space="preserve">AT </w:t>
            </w:r>
          </w:p>
        </w:tc>
        <w:tc>
          <w:tcPr>
            <w:tcW w:w="766" w:type="dxa"/>
            <w:tcBorders/>
            <w:vAlign w:val="center"/>
          </w:tcPr>
          <w:p>
            <w:pPr>
              <w:pStyle w:val="TableContents"/>
              <w:bidi w:val="0"/>
              <w:spacing w:before="0" w:after="283"/>
              <w:jc w:val="start"/>
              <w:rPr/>
            </w:pPr>
            <w:r>
              <w:rPr/>
              <w:t xml:space="preserve">0. 044 </w:t>
            </w:r>
          </w:p>
        </w:tc>
        <w:tc>
          <w:tcPr>
            <w:tcW w:w="826" w:type="dxa"/>
            <w:tcBorders/>
            <w:vAlign w:val="center"/>
          </w:tcPr>
          <w:p>
            <w:pPr>
              <w:pStyle w:val="TableContents"/>
              <w:bidi w:val="0"/>
              <w:spacing w:before="0" w:after="283"/>
              <w:jc w:val="start"/>
              <w:rPr/>
            </w:pPr>
            <w:r>
              <w:rPr/>
              <w:t xml:space="preserve">0. 031 </w:t>
            </w:r>
          </w:p>
        </w:tc>
        <w:tc>
          <w:tcPr>
            <w:tcW w:w="856" w:type="dxa"/>
            <w:tcBorders/>
            <w:vAlign w:val="center"/>
          </w:tcPr>
          <w:p>
            <w:pPr>
              <w:pStyle w:val="TableContents"/>
              <w:bidi w:val="0"/>
              <w:spacing w:before="0" w:after="283"/>
              <w:jc w:val="start"/>
              <w:rPr/>
            </w:pPr>
            <w:r>
              <w:rPr/>
              <w:t xml:space="preserve">0. 011 </w:t>
            </w:r>
          </w:p>
        </w:tc>
        <w:tc>
          <w:tcPr>
            <w:tcW w:w="2356" w:type="dxa"/>
            <w:tcBorders/>
            <w:vAlign w:val="center"/>
          </w:tcPr>
          <w:p>
            <w:pPr>
              <w:pStyle w:val="TableContents"/>
              <w:bidi w:val="0"/>
              <w:spacing w:before="0" w:after="283"/>
              <w:jc w:val="start"/>
              <w:rPr/>
            </w:pPr>
            <w:r>
              <w:rPr/>
              <w:t xml:space="preserve">4. 548(1. 272-16. 263) </w:t>
            </w:r>
          </w:p>
        </w:tc>
      </w:tr>
    </w:tbl>
    <w:p>
      <w:pPr>
        <w:pStyle w:val="TextBody"/>
        <w:bidi w:val="0"/>
        <w:spacing w:before="0" w:after="283"/>
        <w:jc w:val="start"/>
        <w:rPr/>
      </w:pPr>
      <w:r>
        <w:rPr/>
        <w:t xml:space="preserve">Discussion </w:t>
      </w:r>
    </w:p>
    <w:p>
      <w:pPr>
        <w:pStyle w:val="TextBody"/>
        <w:bidi w:val="0"/>
        <w:spacing w:before="0" w:after="283"/>
        <w:jc w:val="start"/>
        <w:rPr/>
      </w:pPr>
      <w:r>
        <w:rPr/>
        <w:t xml:space="preserve">Systemic lupus erythematosus (SLE) is a systemic inflammatory and autoimmune disorder of connective tissues with unknown etiology. Several factors, including endocrine and metabolic, environmental and genetic factors are important in this disease (16, 17). DNA damage can be emanate from environmental factors like mutagenic elements or internal factors including reactive oxygen species resulting from physiological process (18). So far, extensive studies on the role of oxidative stress on the immune system and its role in causing various diseases and its role in changing the structure of DNA was carried out(19). Several studies have shown that breaks in DNA mixed with nuclear proteins are strong immunogens for provoking auto-reactive antibodies (Abs) in SLE patients. DNA repair efficiency in cells is a determining factor for preventing the development of SLE (20, 21). XRCC1’s function as a remarkable protein in the activity of BER factors, contribute to assess its influences on the two most prevalent polymorphisms (22). . In this study, we examined two polymorphisms in this gene. Our findings show that AA and AG genotypes are as protective factors and GG genotype as a risk factor for this disease. But the genotypic and allelic frequencies of Arg194Trp polymorphism were not significantly different between SLE patients and control group. There are several reports showing the correlation between XRCC1 genes and autoimmune diseases like rheumatoid arthritis (23). However, data on allelic variation at the XRCC1 gene in patients with SLE are limited. Benke et al . reported that DNA repair is diminished in patients with SLE (24) In 2009 Lin et al. reported that AA genotypes of Arg399Gln gene polymorphisms were significantly less frequent in SLE patients than controls in Taiwanese Han Chinese. These findings are consistent with our findings but we observed AG genotype frequency in healthy controls further than SLE patients that is opposite of Lin et al. findings (19). Bassi and Warcho‚ i reported that AA and AG genotypes of XRCC1 Arg399Gln polymorphisms were highly frequent in SLE patients than controls in Polish Population (25, 26). These results are completely inconsistent with our findings, because we observed high frequency of the AG and AA genotype in control group. </w:t>
      </w:r>
    </w:p>
    <w:p>
      <w:pPr>
        <w:pStyle w:val="TextBody"/>
        <w:bidi w:val="0"/>
        <w:spacing w:before="0" w:after="283"/>
        <w:jc w:val="start"/>
        <w:rPr/>
      </w:pPr>
      <w:r>
        <w:rPr/>
        <w:t xml:space="preserve">With respect to another variant Arg149Trp, our study failed to show any significant differences in allelic and genotypic distribution of this polymorphism among the groups. In accordance with our results, Lin et al (19) found no association between the XRCC1 Arg194Trp and susceptibility to SLE. Also, Koyama et al. did not find any association between XRCC1 Arg194Gln and Arg399Gln polymorphisms and rheumatoid arthritis in Japanese population(27). </w:t>
      </w:r>
    </w:p>
    <w:p>
      <w:pPr>
        <w:pStyle w:val="TextBody"/>
        <w:bidi w:val="0"/>
        <w:spacing w:before="0" w:after="283"/>
        <w:jc w:val="start"/>
        <w:rPr/>
      </w:pPr>
      <w:r>
        <w:rPr/>
        <w:t xml:space="preserve">In light of these findings, we suggest that there is an association between the XRCC1 Arg399Gln and vulnerability to SLE in the studied population. Current Consistent with the fact that XRCC1 has key role in the BER system thus a change in the amino acid alter the structure of this protein and may be change its function. </w:t>
      </w:r>
    </w:p>
    <w:p>
      <w:pPr>
        <w:pStyle w:val="TextBody"/>
        <w:bidi w:val="0"/>
        <w:spacing w:before="0" w:after="283"/>
        <w:jc w:val="start"/>
        <w:rPr/>
      </w:pPr>
      <w:r>
        <w:rPr/>
        <w:t xml:space="preserve">Acknowledgements </w:t>
      </w:r>
    </w:p>
    <w:p>
      <w:pPr>
        <w:pStyle w:val="TextBody"/>
        <w:bidi w:val="0"/>
        <w:spacing w:before="0" w:after="283"/>
        <w:jc w:val="start"/>
        <w:rPr/>
      </w:pPr>
      <w:r>
        <w:rPr/>
        <w:t xml:space="preserve">This article was extracted from the M. S. thesis (registered number 5719) at Zahedan University of Medical Sciences. The authors thank Zahedan Deputy of Research Affairs for funding this project. </w:t>
      </w:r>
    </w:p>
    <w:p>
      <w:pPr>
        <w:pStyle w:val="TextBody"/>
        <w:bidi w:val="0"/>
        <w:spacing w:before="0" w:after="283"/>
        <w:jc w:val="start"/>
        <w:rPr/>
      </w:pPr>
      <w:r>
        <w:rPr/>
        <w:t xml:space="preserve">Disclosure </w:t>
      </w:r>
    </w:p>
    <w:p>
      <w:pPr>
        <w:pStyle w:val="TextBody"/>
        <w:bidi w:val="0"/>
        <w:spacing w:before="0" w:after="283"/>
        <w:jc w:val="start"/>
        <w:rPr/>
      </w:pPr>
      <w:r>
        <w:rPr/>
        <w:t xml:space="preserve">The authors declare that they have no conflicts of interest. </w:t>
      </w:r>
    </w:p>
    <w:p>
      <w:pPr>
        <w:pStyle w:val="Heading2"/>
        <w:bidi w:val="0"/>
        <w:jc w:val="start"/>
        <w:rPr/>
      </w:pPr>
      <w:r>
        <w:rPr/>
        <w:t xml:space="preserve">References </w:t>
      </w:r>
    </w:p>
    <w:p>
      <w:pPr>
        <w:pStyle w:val="TextBody"/>
        <w:bidi w:val="0"/>
        <w:spacing w:before="0" w:after="283"/>
        <w:jc w:val="start"/>
        <w:rPr/>
      </w:pPr>
      <w:r>
        <w:rPr/>
        <w:t xml:space="preserve">1. Mortensen ES, Fenton KA, Rekvig OP. Lupus nephritis: the central role of nucleosomes revealed. The American journal of pathology. 2008 Feb; 172(2): 275-83. PubMed PMID: 18187568. Pubmed Central PMCID: 2312358. </w:t>
      </w:r>
    </w:p>
    <w:p>
      <w:pPr>
        <w:pStyle w:val="TextBody"/>
        <w:bidi w:val="0"/>
        <w:spacing w:before="0" w:after="283"/>
        <w:jc w:val="start"/>
        <w:rPr/>
      </w:pPr>
      <w:r>
        <w:rPr/>
        <w:t xml:space="preserve">2. Sahebari M, Hatef MR, Rezaieyazdi Z, Abbasi M, Abbasi B, Mahmoudi M. Correlation between serum levels of soluble Fas (CD95/Apo-1) with disease activity in systemic lupus erythematosus patients in Khorasan, Iran. Archives of Iranian medicine. 2010 Mar; 13(2): 135-42. PubMed PMID: 20187668. </w:t>
      </w:r>
    </w:p>
    <w:p>
      <w:pPr>
        <w:pStyle w:val="TextBody"/>
        <w:bidi w:val="0"/>
        <w:spacing w:before="0" w:after="283"/>
        <w:jc w:val="start"/>
        <w:rPr/>
      </w:pPr>
      <w:r>
        <w:rPr/>
        <w:t xml:space="preserve">3. Manson JJ, Rahman A. Systemic lupus erythematosus. Orphanet journal of rare diseases. 2006; 1: 6. PubMed PMID: 16722594. Pubmed Central PMCID: 1459118. </w:t>
      </w:r>
    </w:p>
    <w:p>
      <w:pPr>
        <w:pStyle w:val="TextBody"/>
        <w:bidi w:val="0"/>
        <w:spacing w:before="0" w:after="283"/>
        <w:jc w:val="start"/>
        <w:rPr/>
      </w:pPr>
      <w:r>
        <w:rPr/>
        <w:t xml:space="preserve">4. Tsokos GC, Liossis SN. Immune cell signaling defects in lupus: activation, anergy and death. Immunology today. 1999 Mar; 20(3): 119-24. PubMed PMID: 10203702. </w:t>
      </w:r>
    </w:p>
    <w:p>
      <w:pPr>
        <w:pStyle w:val="TextBody"/>
        <w:bidi w:val="0"/>
        <w:spacing w:before="0" w:after="283"/>
        <w:jc w:val="start"/>
        <w:rPr/>
      </w:pPr>
      <w:r>
        <w:rPr/>
        <w:t xml:space="preserve">5. Stollar BD. Antibodies to DNA. CRC critical reviews in biochemistry. 1986; 20(1): 1-36. PubMed PMID: 3514122. </w:t>
      </w:r>
    </w:p>
    <w:p>
      <w:pPr>
        <w:pStyle w:val="TextBody"/>
        <w:bidi w:val="0"/>
        <w:spacing w:before="0" w:after="283"/>
        <w:jc w:val="start"/>
        <w:rPr/>
      </w:pPr>
      <w:r>
        <w:rPr/>
        <w:t xml:space="preserve">6. Blount S, Griffiths H, Emery P, Lunec J. Reactive oxygen species modify human DNA, eliciting a more discriminating antigen for the diagnosis of systemic lupus erythematosus. Clinical and experimental immunology. 1990 Sep; 81(3): 384-9. PubMed PMID: 2397609. Pubmed Central PMCID: 1534993. </w:t>
      </w:r>
    </w:p>
    <w:p>
      <w:pPr>
        <w:pStyle w:val="TextBody"/>
        <w:bidi w:val="0"/>
        <w:spacing w:before="0" w:after="283"/>
        <w:jc w:val="start"/>
        <w:rPr/>
      </w:pPr>
      <w:r>
        <w:rPr/>
        <w:t xml:space="preserve">7. Ladiges W, Wiley J, MacAuley A. Polymorphisms in the DNA repair gene XRCC1 and age-related disease. Mechanisms of ageing and development. 2003 Jan; 124(1): 27-32. PubMed PMID: 12618003. </w:t>
      </w:r>
    </w:p>
    <w:p>
      <w:pPr>
        <w:pStyle w:val="TextBody"/>
        <w:bidi w:val="0"/>
        <w:spacing w:before="0" w:after="283"/>
        <w:jc w:val="start"/>
        <w:rPr/>
      </w:pPr>
      <w:r>
        <w:rPr/>
        <w:t xml:space="preserve">8. Svilar D, Goellner EM, Almeida KH, Sobol RW. Base excision repair and lesion-dependent subpathways for repair of oxidative DNA damage. Antioxidants &amp; redox signaling. 2011 Jun 15; 14(12): 2491-507. PubMed PMID: 20649466. Pubmed Central PMCID: 3096496. </w:t>
      </w:r>
    </w:p>
    <w:p>
      <w:pPr>
        <w:pStyle w:val="TextBody"/>
        <w:bidi w:val="0"/>
        <w:spacing w:before="0" w:after="283"/>
        <w:jc w:val="start"/>
        <w:rPr/>
      </w:pPr>
      <w:r>
        <w:rPr/>
        <w:t xml:space="preserve">9. Hung RJ, Hall J, Brennan P, Boffetta P. Genetic polymorphisms in the base excision repair pathway and cancer risk: a HuGE review. American journal of epidemiology. 2005 Nov 15; 162(10): 925-42. PubMed PMID: 16221808. </w:t>
      </w:r>
    </w:p>
    <w:p>
      <w:pPr>
        <w:pStyle w:val="TextBody"/>
        <w:bidi w:val="0"/>
        <w:spacing w:before="0" w:after="283"/>
        <w:jc w:val="start"/>
        <w:rPr/>
      </w:pPr>
      <w:r>
        <w:rPr/>
        <w:t xml:space="preserve">10. Caldecott KW. XRCC1 and DNA strand break repair. DNA repair. 2003 Sep 18; 2(9): 955-69. PubMed PMID: 12967653. </w:t>
      </w:r>
    </w:p>
    <w:p>
      <w:pPr>
        <w:pStyle w:val="TextBody"/>
        <w:bidi w:val="0"/>
        <w:spacing w:before="0" w:after="283"/>
        <w:jc w:val="start"/>
        <w:rPr/>
      </w:pPr>
      <w:r>
        <w:rPr/>
        <w:t xml:space="preserve">11. Thompson LH, West MG. XRCC1 keeps DNA from getting stranded. Mutation research. 2000 Feb 16; 459(1): 1-18. PubMed PMID: 10677679. </w:t>
      </w:r>
    </w:p>
    <w:p>
      <w:pPr>
        <w:pStyle w:val="TextBody"/>
        <w:bidi w:val="0"/>
        <w:spacing w:before="0" w:after="283"/>
        <w:jc w:val="start"/>
        <w:rPr/>
      </w:pPr>
      <w:r>
        <w:rPr/>
        <w:t xml:space="preserve">12. Shen MR, Jones IM, Mohrenweiser H. Nonconservative amino acid substitution variants exist at polymorphic frequency in DNA repair genes in healthy humans. Cancer research. 1998 Feb 15; 58(4): 604-8. PubMed PMID: 9485007. </w:t>
      </w:r>
    </w:p>
    <w:p>
      <w:pPr>
        <w:pStyle w:val="TextBody"/>
        <w:bidi w:val="0"/>
        <w:spacing w:before="0" w:after="283"/>
        <w:jc w:val="start"/>
        <w:rPr/>
      </w:pPr>
      <w:r>
        <w:rPr/>
        <w:t xml:space="preserve">13. Trabulus S, Guven GS, Altiparmak MR, Batar B, Tun O, Yalin AS, et al. DNA repair XRCC1 Arg399Gln polymorphism is associated with the risk of development of end-stage renal disease. Molecular biology reports. 2012 Jun; 39(6): 6995-7001. PubMed PMID: 22302399. </w:t>
      </w:r>
    </w:p>
    <w:p>
      <w:pPr>
        <w:pStyle w:val="TextBody"/>
        <w:bidi w:val="0"/>
        <w:spacing w:before="0" w:after="283"/>
        <w:jc w:val="start"/>
        <w:rPr/>
      </w:pPr>
      <w:r>
        <w:rPr/>
        <w:t xml:space="preserve">14. Liu F, Li B, Wei Y, Yan L, Wen T, Zhao J, et al. XRCC1 genetic polymorphism Arg399Gln and hepatocellular carcinoma risk: a meta-analysis. Liver international : official journal of the International Association for the Study of the Liver. 2011 Jul; 31(6): 802-9. PubMed PMID: 21645210. </w:t>
      </w:r>
    </w:p>
    <w:p>
      <w:pPr>
        <w:pStyle w:val="TextBody"/>
        <w:bidi w:val="0"/>
        <w:spacing w:before="0" w:after="283"/>
        <w:jc w:val="start"/>
        <w:rPr/>
      </w:pPr>
      <w:r>
        <w:rPr/>
        <w:t xml:space="preserve">15. Gaunt TR, Rodriguez S, Day IN. Cubic exact solutions for the estimation of pairwise haplotype frequencies: implications for linkage disequilibrium analyses and a web tool ‘ CubeX’. BMC bioinformatics. 2007; 8: 428. PubMed PMID: 17980034. Pubmed Central PMCID: 2180187. </w:t>
      </w:r>
    </w:p>
    <w:p>
      <w:pPr>
        <w:pStyle w:val="TextBody"/>
        <w:bidi w:val="0"/>
        <w:spacing w:before="0" w:after="283"/>
        <w:jc w:val="start"/>
        <w:rPr/>
      </w:pPr>
      <w:r>
        <w:rPr/>
        <w:t xml:space="preserve">16. Chai HC, Phipps ME, Chua KH. Genetic risk factors of systemic lupus erythematosus in the Malaysian population: a minireview. Clinical &amp; developmental immunology. 2012; 2012: 963730. PubMed PMID: 21941582. Pubmed Central PMCID: 3176625. </w:t>
      </w:r>
    </w:p>
    <w:p>
      <w:pPr>
        <w:pStyle w:val="TextBody"/>
        <w:bidi w:val="0"/>
        <w:spacing w:before="0" w:after="283"/>
        <w:jc w:val="start"/>
        <w:rPr/>
      </w:pPr>
      <w:r>
        <w:rPr/>
        <w:t xml:space="preserve">17. Lee YH, Ota F, Kim-Howard X, Kaufman KM, Nath SK. APRIL polymorphism and systemic lupus erythematosus (SLE) susceptibility. Rheumatology. 2007 Aug; 46(8): 1274-6. PubMed PMID: 17569747. </w:t>
      </w:r>
    </w:p>
    <w:p>
      <w:pPr>
        <w:pStyle w:val="TextBody"/>
        <w:bidi w:val="0"/>
        <w:spacing w:before="0" w:after="283"/>
        <w:jc w:val="start"/>
        <w:rPr/>
      </w:pPr>
      <w:r>
        <w:rPr/>
        <w:t xml:space="preserve">18. Hanssen-Bauer A, Solvang-Garten K, Akbari M, Otterlei M. X-ray repair cross complementing protein 1 in base excision repair. International journal of molecular sciences. 2012; 13(12): 17210-29. PubMed PMID: 23247283. Pubmed Central PMCID: 3546746. </w:t>
      </w:r>
    </w:p>
    <w:p>
      <w:pPr>
        <w:pStyle w:val="TextBody"/>
        <w:bidi w:val="0"/>
        <w:spacing w:before="0" w:after="283"/>
        <w:jc w:val="start"/>
        <w:rPr/>
      </w:pPr>
      <w:r>
        <w:rPr/>
        <w:t xml:space="preserve">19. Lin YJ, Wan L, Huang CM, Chen SY, Huang YC, Lai CH, et al. Polymorphisms in the DNA repair gene XRCC1 and associations with systemic lupus erythematosus risk in the Taiwanese Han Chinese population. Lupus. 2009 Dec; 18(14): 1246-51. PubMed PMID: 19880550. </w:t>
      </w:r>
    </w:p>
    <w:p>
      <w:pPr>
        <w:pStyle w:val="TextBody"/>
        <w:bidi w:val="0"/>
        <w:spacing w:before="0" w:after="283"/>
        <w:jc w:val="start"/>
        <w:rPr/>
      </w:pPr>
      <w:r>
        <w:rPr/>
        <w:t xml:space="preserve">20. Takeda Y, Dynan WS. Autoantibodies against DNA double-strand break repair proteins. Frontiers in bioscience : a journal and virtual library. 2001 Nov 1; 6: D1412-22. PubMed PMID: 11689355. </w:t>
      </w:r>
    </w:p>
    <w:p>
      <w:pPr>
        <w:pStyle w:val="TextBody"/>
        <w:bidi w:val="0"/>
        <w:spacing w:before="0" w:after="283"/>
        <w:jc w:val="start"/>
        <w:rPr/>
      </w:pPr>
      <w:r>
        <w:rPr/>
        <w:t xml:space="preserve">21. Balsalobre B. Complement, circulating immunocomplexes and autoantibodies after ionizing radiation exposure. Revista espanola de fisiologia. 1991 Sep; 47(3): 147-50. PubMed PMID: 1798858. </w:t>
      </w:r>
    </w:p>
    <w:p>
      <w:pPr>
        <w:pStyle w:val="TextBody"/>
        <w:bidi w:val="0"/>
        <w:spacing w:before="0" w:after="283"/>
        <w:jc w:val="start"/>
        <w:rPr/>
      </w:pPr>
      <w:r>
        <w:rPr/>
        <w:t xml:space="preserve">22. Abdel-Rahman SZ, Soliman AS, Bondy ML, Omar S, El-Badawy SA, Khaled HM, et al. Inheritance of the 194Trp and the 399Gln variant alleles of the DNA repair gene XRCC1 are associated with increased risk of early-onset colorectal carcinoma in Egypt. Cancer letters. 2000 Oct 16; 159(1): 79-86. PubMed PMID: 10974409. </w:t>
      </w:r>
    </w:p>
    <w:p>
      <w:pPr>
        <w:pStyle w:val="TextBody"/>
        <w:bidi w:val="0"/>
        <w:spacing w:before="0" w:after="283"/>
        <w:jc w:val="start"/>
        <w:rPr/>
      </w:pPr>
      <w:r>
        <w:rPr/>
        <w:t xml:space="preserve">23. Yosunkaya E, Karakurt F, Cetin E, Ozgonenel L, Onaran I, Batar B, et al. Rheumatoid arthritis risk associates with DNA repair gene XRCC1 Arg399Gln polymorphism in Turkish patients. Rheumatology international. 2012 May; 32(5): 1265-9. PubMed PMID: 21267572. </w:t>
      </w:r>
    </w:p>
    <w:p>
      <w:pPr>
        <w:pStyle w:val="TextBody"/>
        <w:bidi w:val="0"/>
        <w:spacing w:before="0" w:after="283"/>
        <w:jc w:val="start"/>
        <w:rPr/>
      </w:pPr>
      <w:r>
        <w:rPr/>
        <w:t xml:space="preserve">24. Benke PJ, Belmar P. Phytohemagglutinin-stimulated lymphocytes from patients with systemic lupus erythematosus demonstrate DNA damage. Metabolism: clinical and experimental. 1991 Oct; 40(10): 1037-42. PubMed PMID: 1943728. </w:t>
      </w:r>
    </w:p>
    <w:p>
      <w:pPr>
        <w:pStyle w:val="TextBody"/>
        <w:bidi w:val="0"/>
        <w:spacing w:before="0" w:after="283"/>
        <w:jc w:val="start"/>
        <w:rPr/>
      </w:pPr>
      <w:r>
        <w:rPr/>
        <w:t xml:space="preserve">25. Warchol T, Mostowska A, Lianeri M, Lacki JK, Jagodzinski PP. XRCC1 Arg399Gln gene polymorphism and the risk of systemic lupus erythematosus in the Polish population. DNA and cell biology. 2012 Jan; 31(1): 50-6. PubMed PMID: 21682595. Pubmed Central PMCID: 3246417. </w:t>
      </w:r>
    </w:p>
    <w:p>
      <w:pPr>
        <w:pStyle w:val="TextBody"/>
        <w:bidi w:val="0"/>
        <w:spacing w:before="0" w:after="283"/>
        <w:jc w:val="start"/>
        <w:rPr/>
      </w:pPr>
      <w:r>
        <w:rPr/>
        <w:t xml:space="preserve">26. Bassi C, Xavier D, Palomino G, Nicolucci P, Soares C, Sakamoto-Hojo E, et al. Efficiency of the DNA repair and polymorphisms of the XRCC1, XRCC3 and XRCC4 DNA repair genes in systemic lupus erythematosus. Lupus. 2008 Nov; 17(11): 988-95. PubMed PMID: 18852222. </w:t>
      </w:r>
    </w:p>
    <w:p>
      <w:pPr>
        <w:pStyle w:val="TextBody"/>
        <w:bidi w:val="0"/>
        <w:spacing w:before="0" w:after="283"/>
        <w:jc w:val="start"/>
        <w:rPr/>
      </w:pPr>
      <w:r>
        <w:rPr/>
        <w:t xml:space="preserve">27. Koyama A, Kubota Y, Shimamura T, Horiuchi S. Possible association of the X-ray cross complementing gene 1 (XRCC1) Arg280His polymorphism as a risk for rheumatoid arthritis. Rheumatology international. 2006 Jun; 26(8): 749-51. PubMed PMID: 16284769.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https://assignbuster.com/xrcc1-polymorphism-and-systemic-lupus-erythematosus/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Xrcc1 polymorphism and systemic lupus 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TableContents">
    <w:name w:val="Table Contents"/>
    <w:basedOn w:val="TextBody"/>
    <w:qFormat/>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xrcc1-polymorphism-and-systemic-lupus-erythemato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Xrcc1 polymorphism and systemic lupus erythematosus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Xrcc1 polymorphism and systemic lupus erythematosus</dc:title>
  <dc:subject>Others;</dc:subject>
  <dc:creator>AssignBuster</dc:creator>
  <cp:keywords/>
  <dc:description>XRCC1 Arg399Gln gene polymorphism and the risk of systemic lupus erythematosus in the Polish population.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