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methods of fetal weight estimation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Knowledge of fetal weight in utero is important for the obstetrician to decide whether or not to deliver the fetus and also to decide the mode of delivery. Both low birth weight and excessive fetal weight at delivery are associated with increased risk of newborn complications during labor and the puerperium. Various clinical formulae like Johnson’s formula and Dawn’s formula have come into usage for fetal weight estimation. Another formula is the product of symphysiofundal height with abdominal girth in centimeters which gives a fairly good estimate of fetal weight. </w:t>
      </w:r>
    </w:p>
    <w:p>
      <w:pPr>
        <w:pStyle w:val="TextBody"/>
        <w:bidi w:val="0"/>
        <w:spacing w:before="0" w:after="283"/>
        <w:jc w:val="start"/>
        <w:rPr/>
      </w:pPr>
      <w:r>
        <w:rPr/>
        <w:t xml:space="preserve">METHODS: </w:t>
      </w:r>
    </w:p>
    <w:p>
      <w:pPr>
        <w:pStyle w:val="TextBody"/>
        <w:bidi w:val="0"/>
        <w:spacing w:before="0" w:after="283"/>
        <w:jc w:val="start"/>
        <w:rPr/>
      </w:pPr>
      <w:r>
        <w:rPr/>
        <w:t xml:space="preserve">It is a prospective observational study of 200 women at term pregnancy at a hospital. Patients within 15 days from their Expected Date of Delivery were included in the study. The formulas used in this study are: </w:t>
      </w:r>
    </w:p>
    <w:p>
      <w:pPr>
        <w:pStyle w:val="TextBody"/>
        <w:numPr>
          <w:ilvl w:val="0"/>
          <w:numId w:val="1"/>
        </w:numPr>
        <w:tabs>
          <w:tab w:val="clear" w:pos="1134"/>
          <w:tab w:val="left" w:pos="709" w:leader="none"/>
        </w:tabs>
        <w:bidi w:val="0"/>
        <w:spacing w:before="0" w:after="0"/>
        <w:ind w:start="709" w:hanging="283"/>
        <w:jc w:val="start"/>
        <w:rPr/>
      </w:pPr>
      <w:r>
        <w:rPr/>
        <w:t xml:space="preserve">JOHNSON’S FORMULA </w:t>
      </w:r>
    </w:p>
    <w:p>
      <w:pPr>
        <w:pStyle w:val="TextBody"/>
        <w:numPr>
          <w:ilvl w:val="0"/>
          <w:numId w:val="1"/>
        </w:numPr>
        <w:tabs>
          <w:tab w:val="clear" w:pos="1134"/>
          <w:tab w:val="left" w:pos="709" w:leader="none"/>
        </w:tabs>
        <w:bidi w:val="0"/>
        <w:spacing w:before="0" w:after="0"/>
        <w:ind w:start="709" w:hanging="283"/>
        <w:jc w:val="start"/>
        <w:rPr/>
      </w:pPr>
      <w:r>
        <w:rPr/>
        <w:t xml:space="preserve">SYMPHYSIOFUNDAL HEIGHT X ABDOMINAL GIRTH (AG X SFH) </w:t>
      </w:r>
    </w:p>
    <w:p>
      <w:pPr>
        <w:pStyle w:val="TextBody"/>
        <w:numPr>
          <w:ilvl w:val="0"/>
          <w:numId w:val="1"/>
        </w:numPr>
        <w:tabs>
          <w:tab w:val="clear" w:pos="1134"/>
          <w:tab w:val="left" w:pos="709" w:leader="none"/>
        </w:tabs>
        <w:bidi w:val="0"/>
        <w:spacing w:before="0" w:after="0"/>
        <w:ind w:start="709" w:hanging="283"/>
        <w:jc w:val="start"/>
        <w:rPr/>
      </w:pPr>
      <w:r>
        <w:rPr/>
        <w:t xml:space="preserve">DAWN’S FORMULA </w:t>
      </w:r>
    </w:p>
    <w:p>
      <w:pPr>
        <w:pStyle w:val="TextBody"/>
        <w:numPr>
          <w:ilvl w:val="0"/>
          <w:numId w:val="1"/>
        </w:numPr>
        <w:tabs>
          <w:tab w:val="clear" w:pos="1134"/>
          <w:tab w:val="left" w:pos="709" w:leader="none"/>
        </w:tabs>
        <w:bidi w:val="0"/>
        <w:ind w:start="709" w:hanging="283"/>
        <w:jc w:val="start"/>
        <w:rPr/>
      </w:pPr>
      <w:r>
        <w:rPr/>
        <w:t xml:space="preserve">HADLOCK’S FORMULA USING ULTRASOUND. </w:t>
      </w:r>
    </w:p>
    <w:p>
      <w:pPr>
        <w:pStyle w:val="TextBody"/>
        <w:bidi w:val="0"/>
        <w:jc w:val="start"/>
        <w:rPr/>
      </w:pPr>
      <w:r>
        <w:rPr/>
        <w:t xml:space="preserve">RESUTLS: </w:t>
      </w:r>
    </w:p>
    <w:p>
      <w:pPr>
        <w:pStyle w:val="TextBody"/>
        <w:bidi w:val="0"/>
        <w:spacing w:before="0" w:after="283"/>
        <w:jc w:val="start"/>
        <w:rPr/>
      </w:pPr>
      <w:r>
        <w:rPr/>
        <w:t xml:space="preserve">There have been differing results about accuracy of various methods of estimating fetal weight. This study showed that AG X SFH was the best indicator among all other methods assessed followed by Hadlock’s formula by ultrasonographic method. </w:t>
      </w:r>
    </w:p>
    <w:p>
      <w:pPr>
        <w:pStyle w:val="TextBody"/>
        <w:bidi w:val="0"/>
        <w:spacing w:before="0" w:after="283"/>
        <w:jc w:val="start"/>
        <w:rPr/>
      </w:pPr>
      <w:r>
        <w:rPr/>
        <w:t xml:space="preserve">CONCLUSION: </w:t>
      </w:r>
    </w:p>
    <w:p>
      <w:pPr>
        <w:pStyle w:val="TextBody"/>
        <w:bidi w:val="0"/>
        <w:spacing w:before="0" w:after="283"/>
        <w:jc w:val="start"/>
        <w:rPr/>
      </w:pPr>
      <w:r>
        <w:rPr/>
        <w:t xml:space="preserve">Fundal height assessment is an inexpensive method for screening for fetal growth restriction. SFH measurement continues to be used in many countries on large scale because of its low cost, ease of use, and need for little training as the setup for ultrasonographic evaluation is not readily available in rural setups. </w:t>
      </w:r>
    </w:p>
    <w:p>
      <w:pPr>
        <w:pStyle w:val="TextBody"/>
        <w:bidi w:val="0"/>
        <w:spacing w:before="0" w:after="283"/>
        <w:jc w:val="start"/>
        <w:rPr/>
      </w:pPr>
      <w:r>
        <w:rPr/>
        <w:t xml:space="preserve">KEYWORDS: Fetal Weight, At Term Pregnancy, Symphysiofundal Height, Ultrasonography, Newborn Complications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of fetal weight in utero is important for the obstetrician to decide whether or not to deliver the fetus and also to decide the mode of delivery. Both low birth weight and excessive fetal weight at delivery are associated with an increased risk of newborn complications during labor and the puerperium. The perinatal complications associated with low birth weight are attributable to preterm delivery, intrauterine growth restriction (IUGR), or both. For excessively large fetuses, the potential complications associated with delivery include shoulder dystocia, brachial plexus injuries, bony injuries, and intrapartum asphyxia. The maternal risks associated with the delivery of an excessively large fetus include birth canal and pelvic floor injuries and postpartum hemorrhage. The occurrence of cephalopelvic disproportion is more prevalent with increasing fetal size and contributes to both an increased rate of operative vaginal delivery and cesarean delivery for macrosomic fetuses compared with fetuses of normal weight. Estimation of fetal weight being done clinically has received much criticism for less accuracy due to observer variation. </w:t>
      </w:r>
    </w:p>
    <w:p>
      <w:pPr>
        <w:pStyle w:val="TextBody"/>
        <w:bidi w:val="0"/>
        <w:spacing w:before="0" w:after="283"/>
        <w:jc w:val="start"/>
        <w:rPr/>
      </w:pPr>
      <w:r>
        <w:rPr/>
        <w:t xml:space="preserve">Various clinical formulae like Johnson’s formula and Dawn’s formula have come into usage for fetal weight estimation. Another formula is the product of symphysiofundal height with abdominal girth in centimeters which gives a fairly good estimate of fetal weight.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aim of this study was to assess the fetal weight in term pregnancies by various methods- abdominal girth (cms) X symphysiofundal height (cms) AG X SFH, Johnson’s formula, Dawn’s formula and Hadlock’s formula using ultrasound, and to compare the methods after knowing the actual weight of the baby after birth.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It is a prospective observational study of 200 women at term pregnancy at Dhiraj General Hospital, Vadodara from 1 </w:t>
      </w:r>
      <w:r>
        <w:rPr>
          <w:position w:val="8"/>
          <w:sz w:val="19"/>
        </w:rPr>
        <w:t xml:space="preserve">st </w:t>
      </w:r>
      <w:r>
        <w:rPr/>
        <w:t xml:space="preserve">June 2010 to 31 </w:t>
      </w:r>
      <w:r>
        <w:rPr>
          <w:position w:val="8"/>
          <w:sz w:val="19"/>
        </w:rPr>
        <w:t xml:space="preserve">st </w:t>
      </w:r>
      <w:r>
        <w:rPr/>
        <w:t xml:space="preserve">May 2011. Patients within 15 days from their Expected Date of Delivery were included in the study. </w:t>
      </w:r>
    </w:p>
    <w:p>
      <w:pPr>
        <w:pStyle w:val="TextBody"/>
        <w:bidi w:val="0"/>
        <w:spacing w:before="0" w:after="283"/>
        <w:jc w:val="start"/>
        <w:rPr/>
      </w:pPr>
      <w:r>
        <w:rPr/>
        <w:t xml:space="preserve">Cases of MULTIPLE PREGNANCIES, OLIGO/POLYHYDRAMNIOS, MALPRESENTATIONS AND FIBROID OR ADNEXAL MASSES were excluded </w:t>
      </w:r>
    </w:p>
    <w:p>
      <w:pPr>
        <w:pStyle w:val="TextBody"/>
        <w:bidi w:val="0"/>
        <w:spacing w:before="0" w:after="283"/>
        <w:jc w:val="start"/>
        <w:rPr/>
      </w:pPr>
      <w:r>
        <w:rPr/>
        <w:t xml:space="preserve">THE METHODS </w:t>
      </w:r>
    </w:p>
    <w:p>
      <w:pPr>
        <w:pStyle w:val="TextBody"/>
        <w:numPr>
          <w:ilvl w:val="0"/>
          <w:numId w:val="2"/>
        </w:numPr>
        <w:tabs>
          <w:tab w:val="clear" w:pos="1134"/>
          <w:tab w:val="left" w:pos="709" w:leader="none"/>
        </w:tabs>
        <w:bidi w:val="0"/>
        <w:spacing w:before="0" w:after="0"/>
        <w:ind w:start="709" w:hanging="283"/>
        <w:jc w:val="start"/>
        <w:rPr/>
      </w:pPr>
      <w:r>
        <w:rPr/>
        <w:t xml:space="preserve">JOHNSON’S FORMULA </w:t>
      </w:r>
    </w:p>
    <w:p>
      <w:pPr>
        <w:pStyle w:val="TextBody"/>
        <w:numPr>
          <w:ilvl w:val="0"/>
          <w:numId w:val="2"/>
        </w:numPr>
        <w:tabs>
          <w:tab w:val="clear" w:pos="1134"/>
          <w:tab w:val="left" w:pos="709" w:leader="none"/>
        </w:tabs>
        <w:bidi w:val="0"/>
        <w:spacing w:before="0" w:after="0"/>
        <w:ind w:start="709" w:hanging="283"/>
        <w:jc w:val="start"/>
        <w:rPr/>
      </w:pPr>
      <w:r>
        <w:rPr/>
        <w:t xml:space="preserve">SYMPHYSIOFUNDAL HEIGHT X ABDOMINAL GIRTH. </w:t>
      </w:r>
    </w:p>
    <w:p>
      <w:pPr>
        <w:pStyle w:val="TextBody"/>
        <w:numPr>
          <w:ilvl w:val="0"/>
          <w:numId w:val="2"/>
        </w:numPr>
        <w:tabs>
          <w:tab w:val="clear" w:pos="1134"/>
          <w:tab w:val="left" w:pos="709" w:leader="none"/>
        </w:tabs>
        <w:bidi w:val="0"/>
        <w:spacing w:before="0" w:after="0"/>
        <w:ind w:start="709" w:hanging="283"/>
        <w:jc w:val="start"/>
        <w:rPr/>
      </w:pPr>
      <w:r>
        <w:rPr/>
        <w:t xml:space="preserve">DAWN’S FORMULA </w:t>
      </w:r>
    </w:p>
    <w:p>
      <w:pPr>
        <w:pStyle w:val="TextBody"/>
        <w:numPr>
          <w:ilvl w:val="0"/>
          <w:numId w:val="2"/>
        </w:numPr>
        <w:tabs>
          <w:tab w:val="clear" w:pos="1134"/>
          <w:tab w:val="left" w:pos="709" w:leader="none"/>
        </w:tabs>
        <w:bidi w:val="0"/>
        <w:ind w:start="709" w:hanging="283"/>
        <w:jc w:val="start"/>
        <w:rPr/>
      </w:pPr>
      <w:r>
        <w:rPr/>
        <w:t xml:space="preserve">HADLOCK’S FORMULA USING ULTRASOUND. </w:t>
      </w:r>
    </w:p>
    <w:p>
      <w:pPr>
        <w:pStyle w:val="TextBody"/>
        <w:bidi w:val="0"/>
        <w:jc w:val="start"/>
        <w:rPr/>
      </w:pPr>
      <w:r>
        <w:rPr/>
        <w:t xml:space="preserve">JOHNSON’S FORMULA: </w:t>
      </w:r>
    </w:p>
    <w:p>
      <w:pPr>
        <w:pStyle w:val="TextBody"/>
        <w:bidi w:val="0"/>
        <w:spacing w:before="0" w:after="283"/>
        <w:jc w:val="start"/>
        <w:rPr/>
      </w:pPr>
      <w:r>
        <w:rPr/>
        <w:t xml:space="preserve">WEIGHT IN GRAMS = (SYMPHYSIOFUNDAL HEIGHT – x) X 155. </w:t>
      </w:r>
    </w:p>
    <w:p>
      <w:pPr>
        <w:pStyle w:val="TextBody"/>
        <w:bidi w:val="0"/>
        <w:spacing w:before="0" w:after="283"/>
        <w:jc w:val="start"/>
        <w:rPr/>
      </w:pPr>
      <w:r>
        <w:rPr/>
        <w:t xml:space="preserve">Here symphysiofundal height is taken after correcting the dextrorotation, from the upper border of symphysis to the height of the fundus. </w:t>
      </w:r>
    </w:p>
    <w:p>
      <w:pPr>
        <w:pStyle w:val="TextBody"/>
        <w:bidi w:val="0"/>
        <w:spacing w:before="0" w:after="283"/>
        <w:jc w:val="start"/>
        <w:rPr/>
      </w:pPr>
      <w:r>
        <w:rPr/>
        <w:t xml:space="preserve">station of the head was noted: </w:t>
      </w:r>
    </w:p>
    <w:p>
      <w:pPr>
        <w:pStyle w:val="TextBody"/>
        <w:bidi w:val="0"/>
        <w:spacing w:before="0" w:after="283"/>
        <w:jc w:val="start"/>
        <w:rPr/>
      </w:pPr>
      <w:r>
        <w:rPr/>
        <w:t xml:space="preserve">x = 12 when head was at or above the level of the ischial spines </w:t>
      </w:r>
    </w:p>
    <w:p>
      <w:pPr>
        <w:pStyle w:val="TextBody"/>
        <w:bidi w:val="0"/>
        <w:spacing w:before="0" w:after="283"/>
        <w:jc w:val="start"/>
        <w:rPr/>
      </w:pPr>
      <w:r>
        <w:rPr/>
        <w:t xml:space="preserve">x = 11 when head was below the level of ischial spines. </w:t>
      </w:r>
    </w:p>
    <w:p>
      <w:pPr>
        <w:pStyle w:val="TextBody"/>
        <w:bidi w:val="0"/>
        <w:spacing w:before="0" w:after="283"/>
        <w:jc w:val="start"/>
        <w:rPr/>
      </w:pPr>
      <w:r>
        <w:rPr/>
        <w:t xml:space="preserve">AG X SFH: </w:t>
      </w:r>
    </w:p>
    <w:p>
      <w:pPr>
        <w:pStyle w:val="TextBody"/>
        <w:bidi w:val="0"/>
        <w:spacing w:before="0" w:after="283"/>
        <w:jc w:val="start"/>
        <w:rPr/>
      </w:pPr>
      <w:r>
        <w:rPr/>
        <w:t xml:space="preserve">Weight in grams = abdominal girth (AG) x symphysiofundal height (SFH) (AG X SFH) </w:t>
      </w:r>
    </w:p>
    <w:p>
      <w:pPr>
        <w:pStyle w:val="TextBody"/>
        <w:bidi w:val="0"/>
        <w:spacing w:before="0" w:after="283"/>
        <w:jc w:val="start"/>
        <w:rPr/>
      </w:pPr>
      <w:r>
        <w:rPr/>
        <w:t xml:space="preserve">Abdominal girth was measured at the level of umbilicus and symphysiofundal height as described earlier. </w:t>
      </w:r>
    </w:p>
    <w:p>
      <w:pPr>
        <w:pStyle w:val="TextBody"/>
        <w:bidi w:val="0"/>
        <w:spacing w:before="0" w:after="283"/>
        <w:jc w:val="start"/>
        <w:rPr/>
      </w:pPr>
      <w:r>
        <w:rPr/>
        <w:t xml:space="preserve">DAWN’S FORMULA: </w:t>
      </w:r>
    </w:p>
    <w:p>
      <w:pPr>
        <w:pStyle w:val="TextBody"/>
        <w:bidi w:val="0"/>
        <w:spacing w:before="0" w:after="283"/>
        <w:jc w:val="start"/>
        <w:rPr/>
      </w:pPr>
      <w:r>
        <w:rPr/>
        <w:t xml:space="preserve">WEIGHT IN GRAMS = </w:t>
      </w:r>
    </w:p>
    <w:p>
      <w:pPr>
        <w:pStyle w:val="TextBody"/>
        <w:bidi w:val="0"/>
        <w:spacing w:before="0" w:after="283"/>
        <w:jc w:val="start"/>
        <w:rPr/>
      </w:pPr>
      <w:r>
        <w:rPr/>
        <w:t xml:space="preserve">Longitudinal diameter of the uterus x(transverse diameter of the uterus) </w:t>
      </w:r>
      <w:r>
        <w:rPr>
          <w:position w:val="8"/>
          <w:sz w:val="19"/>
        </w:rPr>
        <w:t xml:space="preserve">2 </w:t>
      </w:r>
      <w:r>
        <w:rPr/>
        <w:t xml:space="preserve">x 1. 44 </w:t>
      </w:r>
    </w:p>
    <w:p>
      <w:pPr>
        <w:pStyle w:val="TextBody"/>
        <w:bidi w:val="0"/>
        <w:spacing w:before="0" w:after="283"/>
        <w:jc w:val="start"/>
        <w:rPr/>
      </w:pPr>
      <w:r>
        <w:rPr/>
        <w:t xml:space="preserve">2 </w:t>
      </w:r>
    </w:p>
    <w:p>
      <w:pPr>
        <w:pStyle w:val="TextBody"/>
        <w:bidi w:val="0"/>
        <w:spacing w:before="0" w:after="283"/>
        <w:jc w:val="start"/>
        <w:rPr/>
      </w:pPr>
      <w:r>
        <w:rPr/>
        <w:t xml:space="preserve">HADLOCK’S FORMULA: </w:t>
      </w:r>
    </w:p>
    <w:p>
      <w:pPr>
        <w:pStyle w:val="TextBody"/>
        <w:bidi w:val="0"/>
        <w:spacing w:before="0" w:after="283"/>
        <w:jc w:val="start"/>
        <w:rPr/>
      </w:pPr>
      <w:r>
        <w:rPr/>
        <w:t xml:space="preserve">After head circumference, abdominal circumference and femur length were measured in centimeters, the sonography machine calculated the fetal weight. </w:t>
      </w:r>
    </w:p>
    <w:p>
      <w:pPr>
        <w:pStyle w:val="TextBody"/>
        <w:bidi w:val="0"/>
        <w:spacing w:before="0" w:after="283"/>
        <w:jc w:val="start"/>
        <w:rPr/>
      </w:pPr>
      <w:r>
        <w:rPr/>
        <w:t xml:space="preserve">Fetal weight estimated by the above four methods was compared with the actual weight of the baby after birth. A comparative analysis of the four methods was done. </w:t>
      </w:r>
    </w:p>
    <w:p>
      <w:pPr>
        <w:pStyle w:val="TextBody"/>
        <w:bidi w:val="0"/>
        <w:spacing w:before="0" w:after="283"/>
        <w:jc w:val="start"/>
        <w:rPr/>
      </w:pPr>
      <w:r>
        <w:rPr/>
        <w:t xml:space="preserve">OBSERVATION AND RESULTS </w:t>
      </w:r>
    </w:p>
    <w:p>
      <w:pPr>
        <w:pStyle w:val="TextBody"/>
        <w:bidi w:val="0"/>
        <w:spacing w:before="0" w:after="283"/>
        <w:jc w:val="start"/>
        <w:rPr/>
      </w:pPr>
      <w:r>
        <w:rPr/>
        <w:t xml:space="preserve">TABLE I: WEIGHT WISE DISTRIBUTION </w:t>
      </w:r>
    </w:p>
    <w:tbl>
      <w:tblPr>
        <w:tblW w:w="4278" w:type="dxa"/>
        <w:jc w:val="start"/>
        <w:tblInd w:w="0" w:type="dxa"/>
        <w:tblLayout w:type="fixed"/>
        <w:tblCellMar>
          <w:top w:w="28" w:type="dxa"/>
          <w:start w:w="28" w:type="dxa"/>
          <w:bottom w:w="28" w:type="dxa"/>
          <w:end w:w="28" w:type="dxa"/>
        </w:tblCellMar>
      </w:tblPr>
      <w:tblGrid>
        <w:gridCol w:w="1696"/>
        <w:gridCol w:w="1336"/>
        <w:gridCol w:w="1246"/>
      </w:tblGrid>
      <w:tr>
        <w:trPr/>
        <w:tc>
          <w:tcPr>
            <w:tcW w:w="1696" w:type="dxa"/>
            <w:tcBorders/>
            <w:vAlign w:val="center"/>
          </w:tcPr>
          <w:p>
            <w:pPr>
              <w:pStyle w:val="TableContents"/>
              <w:bidi w:val="0"/>
              <w:spacing w:before="0" w:after="283"/>
              <w:jc w:val="start"/>
              <w:rPr/>
            </w:pPr>
            <w:r>
              <w:rPr/>
              <w:t xml:space="preserve">Groups </w:t>
            </w:r>
          </w:p>
        </w:tc>
        <w:tc>
          <w:tcPr>
            <w:tcW w:w="1336" w:type="dxa"/>
            <w:tcBorders/>
            <w:vAlign w:val="center"/>
          </w:tcPr>
          <w:p>
            <w:pPr>
              <w:pStyle w:val="TableContents"/>
              <w:bidi w:val="0"/>
              <w:spacing w:before="0" w:after="283"/>
              <w:jc w:val="start"/>
              <w:rPr/>
            </w:pPr>
            <w:r>
              <w:rPr/>
              <w:t xml:space="preserve">No. of cases </w:t>
            </w:r>
          </w:p>
        </w:tc>
        <w:tc>
          <w:tcPr>
            <w:tcW w:w="1246" w:type="dxa"/>
            <w:tcBorders/>
            <w:vAlign w:val="center"/>
          </w:tcPr>
          <w:p>
            <w:pPr>
              <w:pStyle w:val="TableContents"/>
              <w:bidi w:val="0"/>
              <w:spacing w:before="0" w:after="283"/>
              <w:jc w:val="start"/>
              <w:rPr/>
            </w:pPr>
            <w:r>
              <w:rPr/>
              <w:t xml:space="preserve">Percentage </w:t>
            </w:r>
          </w:p>
        </w:tc>
      </w:tr>
      <w:tr>
        <w:trPr/>
        <w:tc>
          <w:tcPr>
            <w:tcW w:w="1696" w:type="dxa"/>
            <w:tcBorders/>
            <w:vAlign w:val="center"/>
          </w:tcPr>
          <w:p>
            <w:pPr>
              <w:pStyle w:val="TableContents"/>
              <w:bidi w:val="0"/>
              <w:spacing w:before="0" w:after="283"/>
              <w:jc w:val="start"/>
              <w:rPr/>
            </w:pPr>
            <w:r>
              <w:rPr/>
              <w:t xml:space="preserve">Less than 2000 </w:t>
            </w:r>
          </w:p>
        </w:tc>
        <w:tc>
          <w:tcPr>
            <w:tcW w:w="1336" w:type="dxa"/>
            <w:tcBorders/>
            <w:vAlign w:val="center"/>
          </w:tcPr>
          <w:p>
            <w:pPr>
              <w:pStyle w:val="TableContents"/>
              <w:bidi w:val="0"/>
              <w:spacing w:before="0" w:after="283"/>
              <w:jc w:val="start"/>
              <w:rPr/>
            </w:pPr>
            <w:r>
              <w:rPr/>
              <w:t xml:space="preserve">14 </w:t>
            </w:r>
          </w:p>
        </w:tc>
        <w:tc>
          <w:tcPr>
            <w:tcW w:w="1246" w:type="dxa"/>
            <w:tcBorders/>
            <w:vAlign w:val="center"/>
          </w:tcPr>
          <w:p>
            <w:pPr>
              <w:pStyle w:val="TableContents"/>
              <w:bidi w:val="0"/>
              <w:spacing w:before="0" w:after="283"/>
              <w:jc w:val="start"/>
              <w:rPr/>
            </w:pPr>
            <w:r>
              <w:rPr/>
              <w:t xml:space="preserve">7 </w:t>
            </w:r>
          </w:p>
        </w:tc>
      </w:tr>
      <w:tr>
        <w:trPr/>
        <w:tc>
          <w:tcPr>
            <w:tcW w:w="1696" w:type="dxa"/>
            <w:tcBorders/>
            <w:vAlign w:val="center"/>
          </w:tcPr>
          <w:p>
            <w:pPr>
              <w:pStyle w:val="TableContents"/>
              <w:bidi w:val="0"/>
              <w:spacing w:before="0" w:after="283"/>
              <w:jc w:val="start"/>
              <w:rPr/>
            </w:pPr>
            <w:r>
              <w:rPr/>
              <w:t xml:space="preserve">2001-2500 </w:t>
            </w:r>
          </w:p>
        </w:tc>
        <w:tc>
          <w:tcPr>
            <w:tcW w:w="1336" w:type="dxa"/>
            <w:tcBorders/>
            <w:vAlign w:val="center"/>
          </w:tcPr>
          <w:p>
            <w:pPr>
              <w:pStyle w:val="TableContents"/>
              <w:bidi w:val="0"/>
              <w:spacing w:before="0" w:after="283"/>
              <w:jc w:val="start"/>
              <w:rPr/>
            </w:pPr>
            <w:r>
              <w:rPr/>
              <w:t xml:space="preserve">60 </w:t>
            </w:r>
          </w:p>
        </w:tc>
        <w:tc>
          <w:tcPr>
            <w:tcW w:w="1246" w:type="dxa"/>
            <w:tcBorders/>
            <w:vAlign w:val="center"/>
          </w:tcPr>
          <w:p>
            <w:pPr>
              <w:pStyle w:val="TableContents"/>
              <w:bidi w:val="0"/>
              <w:spacing w:before="0" w:after="283"/>
              <w:jc w:val="start"/>
              <w:rPr/>
            </w:pPr>
            <w:r>
              <w:rPr/>
              <w:t xml:space="preserve">30 </w:t>
            </w:r>
          </w:p>
        </w:tc>
      </w:tr>
      <w:tr>
        <w:trPr/>
        <w:tc>
          <w:tcPr>
            <w:tcW w:w="1696" w:type="dxa"/>
            <w:tcBorders/>
            <w:vAlign w:val="center"/>
          </w:tcPr>
          <w:p>
            <w:pPr>
              <w:pStyle w:val="TableContents"/>
              <w:bidi w:val="0"/>
              <w:spacing w:before="0" w:after="283"/>
              <w:jc w:val="start"/>
              <w:rPr/>
            </w:pPr>
            <w:r>
              <w:rPr/>
              <w:t xml:space="preserve">2501-3000 </w:t>
            </w:r>
          </w:p>
        </w:tc>
        <w:tc>
          <w:tcPr>
            <w:tcW w:w="1336" w:type="dxa"/>
            <w:tcBorders/>
            <w:vAlign w:val="center"/>
          </w:tcPr>
          <w:p>
            <w:pPr>
              <w:pStyle w:val="TableContents"/>
              <w:bidi w:val="0"/>
              <w:spacing w:before="0" w:after="283"/>
              <w:jc w:val="start"/>
              <w:rPr/>
            </w:pPr>
            <w:r>
              <w:rPr/>
              <w:t xml:space="preserve">93 </w:t>
            </w:r>
          </w:p>
        </w:tc>
        <w:tc>
          <w:tcPr>
            <w:tcW w:w="1246" w:type="dxa"/>
            <w:tcBorders/>
            <w:vAlign w:val="center"/>
          </w:tcPr>
          <w:p>
            <w:pPr>
              <w:pStyle w:val="TableContents"/>
              <w:bidi w:val="0"/>
              <w:spacing w:before="0" w:after="283"/>
              <w:jc w:val="start"/>
              <w:rPr/>
            </w:pPr>
            <w:r>
              <w:rPr/>
              <w:t xml:space="preserve">46. 5 </w:t>
            </w:r>
          </w:p>
        </w:tc>
      </w:tr>
      <w:tr>
        <w:trPr/>
        <w:tc>
          <w:tcPr>
            <w:tcW w:w="1696" w:type="dxa"/>
            <w:tcBorders/>
            <w:vAlign w:val="center"/>
          </w:tcPr>
          <w:p>
            <w:pPr>
              <w:pStyle w:val="TableContents"/>
              <w:bidi w:val="0"/>
              <w:spacing w:before="0" w:after="283"/>
              <w:jc w:val="start"/>
              <w:rPr/>
            </w:pPr>
            <w:r>
              <w:rPr/>
              <w:t xml:space="preserve">3001-3500 </w:t>
            </w:r>
          </w:p>
        </w:tc>
        <w:tc>
          <w:tcPr>
            <w:tcW w:w="1336" w:type="dxa"/>
            <w:tcBorders/>
            <w:vAlign w:val="center"/>
          </w:tcPr>
          <w:p>
            <w:pPr>
              <w:pStyle w:val="TableContents"/>
              <w:bidi w:val="0"/>
              <w:spacing w:before="0" w:after="283"/>
              <w:jc w:val="start"/>
              <w:rPr/>
            </w:pPr>
            <w:r>
              <w:rPr/>
              <w:t xml:space="preserve">30 </w:t>
            </w:r>
          </w:p>
        </w:tc>
        <w:tc>
          <w:tcPr>
            <w:tcW w:w="1246" w:type="dxa"/>
            <w:tcBorders/>
            <w:vAlign w:val="center"/>
          </w:tcPr>
          <w:p>
            <w:pPr>
              <w:pStyle w:val="TableContents"/>
              <w:bidi w:val="0"/>
              <w:spacing w:before="0" w:after="283"/>
              <w:jc w:val="start"/>
              <w:rPr/>
            </w:pPr>
            <w:r>
              <w:rPr/>
              <w:t xml:space="preserve">15 </w:t>
            </w:r>
          </w:p>
        </w:tc>
      </w:tr>
      <w:tr>
        <w:trPr/>
        <w:tc>
          <w:tcPr>
            <w:tcW w:w="1696" w:type="dxa"/>
            <w:tcBorders/>
            <w:vAlign w:val="center"/>
          </w:tcPr>
          <w:p>
            <w:pPr>
              <w:pStyle w:val="TableContents"/>
              <w:bidi w:val="0"/>
              <w:spacing w:before="0" w:after="283"/>
              <w:jc w:val="start"/>
              <w:rPr/>
            </w:pPr>
            <w:r>
              <w:rPr/>
              <w:t xml:space="preserve">More than 3500 </w:t>
            </w:r>
          </w:p>
        </w:tc>
        <w:tc>
          <w:tcPr>
            <w:tcW w:w="1336"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1. 5 </w:t>
            </w:r>
          </w:p>
        </w:tc>
      </w:tr>
      <w:tr>
        <w:trPr/>
        <w:tc>
          <w:tcPr>
            <w:tcW w:w="1696" w:type="dxa"/>
            <w:tcBorders/>
            <w:vAlign w:val="center"/>
          </w:tcPr>
          <w:p>
            <w:pPr>
              <w:pStyle w:val="TableContents"/>
              <w:bidi w:val="0"/>
              <w:spacing w:before="0" w:after="283"/>
              <w:jc w:val="start"/>
              <w:rPr/>
            </w:pPr>
            <w:r>
              <w:rPr/>
              <w:t xml:space="preserve">Total </w:t>
            </w:r>
          </w:p>
        </w:tc>
        <w:tc>
          <w:tcPr>
            <w:tcW w:w="1336" w:type="dxa"/>
            <w:tcBorders/>
            <w:vAlign w:val="center"/>
          </w:tcPr>
          <w:p>
            <w:pPr>
              <w:pStyle w:val="TableContents"/>
              <w:bidi w:val="0"/>
              <w:spacing w:before="0" w:after="283"/>
              <w:jc w:val="start"/>
              <w:rPr/>
            </w:pPr>
            <w:r>
              <w:rPr/>
              <w:t xml:space="preserve">200 </w:t>
            </w:r>
          </w:p>
        </w:tc>
        <w:tc>
          <w:tcPr>
            <w:tcW w:w="124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TABLE II : AVERAGE ERROR IN CALCULATION OF FETAL WEIGHT IN VARIOUS GROUPS </w:t>
      </w:r>
    </w:p>
    <w:tbl>
      <w:tblPr>
        <w:tblW w:w="5677" w:type="dxa"/>
        <w:jc w:val="start"/>
        <w:tblInd w:w="0" w:type="dxa"/>
        <w:tblLayout w:type="fixed"/>
        <w:tblCellMar>
          <w:top w:w="28" w:type="dxa"/>
          <w:start w:w="28" w:type="dxa"/>
          <w:bottom w:w="28" w:type="dxa"/>
          <w:end w:w="28" w:type="dxa"/>
        </w:tblCellMar>
      </w:tblPr>
      <w:tblGrid>
        <w:gridCol w:w="1546"/>
        <w:gridCol w:w="721"/>
        <w:gridCol w:w="661"/>
        <w:gridCol w:w="661"/>
        <w:gridCol w:w="661"/>
        <w:gridCol w:w="781"/>
        <w:gridCol w:w="646"/>
      </w:tblGrid>
      <w:tr>
        <w:trPr/>
        <w:tc>
          <w:tcPr>
            <w:tcW w:w="1546" w:type="dxa"/>
            <w:tcBorders/>
            <w:vAlign w:val="center"/>
          </w:tcPr>
          <w:p>
            <w:pPr>
              <w:pStyle w:val="TableContents"/>
              <w:bidi w:val="0"/>
              <w:spacing w:before="0" w:after="283"/>
              <w:jc w:val="start"/>
              <w:rPr/>
            </w:pPr>
            <w:r>
              <w:rPr/>
              <w:t xml:space="preserve">Birth Weight( Gms) </w:t>
            </w:r>
          </w:p>
        </w:tc>
        <w:tc>
          <w:tcPr>
            <w:tcW w:w="721" w:type="dxa"/>
            <w:tcBorders/>
          </w:tcPr>
          <w:p>
            <w:pPr>
              <w:pStyle w:val="TableContents"/>
              <w:bidi w:val="0"/>
              <w:spacing w:before="0" w:after="283"/>
              <w:jc w:val="start"/>
              <w:rPr>
                <w:sz w:val="4"/>
                <w:szCs w:val="4"/>
              </w:rPr>
            </w:pPr>
            <w:r>
              <w:rPr>
                <w:sz w:val="4"/>
                <w:szCs w:val="4"/>
              </w:rPr>
            </w:r>
          </w:p>
        </w:tc>
        <w:tc>
          <w:tcPr>
            <w:tcW w:w="661" w:type="dxa"/>
            <w:tcBorders/>
          </w:tcPr>
          <w:p>
            <w:pPr>
              <w:pStyle w:val="TableContents"/>
              <w:bidi w:val="0"/>
              <w:spacing w:before="0" w:after="283"/>
              <w:jc w:val="start"/>
              <w:rPr>
                <w:sz w:val="4"/>
                <w:szCs w:val="4"/>
              </w:rPr>
            </w:pPr>
            <w:r>
              <w:rPr>
                <w:sz w:val="4"/>
                <w:szCs w:val="4"/>
              </w:rPr>
            </w:r>
          </w:p>
        </w:tc>
        <w:tc>
          <w:tcPr>
            <w:tcW w:w="661" w:type="dxa"/>
            <w:tcBorders/>
          </w:tcPr>
          <w:p>
            <w:pPr>
              <w:pStyle w:val="TableContents"/>
              <w:bidi w:val="0"/>
              <w:spacing w:before="0" w:after="283"/>
              <w:jc w:val="start"/>
              <w:rPr>
                <w:sz w:val="4"/>
                <w:szCs w:val="4"/>
              </w:rPr>
            </w:pPr>
            <w:r>
              <w:rPr>
                <w:sz w:val="4"/>
                <w:szCs w:val="4"/>
              </w:rPr>
            </w:r>
          </w:p>
        </w:tc>
        <w:tc>
          <w:tcPr>
            <w:tcW w:w="661" w:type="dxa"/>
            <w:tcBorders/>
          </w:tcPr>
          <w:p>
            <w:pPr>
              <w:pStyle w:val="TableContents"/>
              <w:bidi w:val="0"/>
              <w:spacing w:before="0" w:after="283"/>
              <w:jc w:val="start"/>
              <w:rPr>
                <w:sz w:val="4"/>
                <w:szCs w:val="4"/>
              </w:rPr>
            </w:pPr>
            <w:r>
              <w:rPr>
                <w:sz w:val="4"/>
                <w:szCs w:val="4"/>
              </w:rPr>
            </w:r>
          </w:p>
        </w:tc>
        <w:tc>
          <w:tcPr>
            <w:tcW w:w="781"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r>
      <w:tr>
        <w:trPr/>
        <w:tc>
          <w:tcPr>
            <w:tcW w:w="154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pPr>
            <w:r>
              <w:rPr/>
              <w:t xml:space="preserve">&lt;2000 </w:t>
            </w:r>
          </w:p>
        </w:tc>
        <w:tc>
          <w:tcPr>
            <w:tcW w:w="661" w:type="dxa"/>
            <w:tcBorders/>
            <w:vAlign w:val="center"/>
          </w:tcPr>
          <w:p>
            <w:pPr>
              <w:pStyle w:val="TableContents"/>
              <w:bidi w:val="0"/>
              <w:spacing w:before="0" w:after="283"/>
              <w:jc w:val="start"/>
              <w:rPr/>
            </w:pPr>
            <w:r>
              <w:rPr/>
              <w:t xml:space="preserve">2001-2500 </w:t>
            </w:r>
          </w:p>
        </w:tc>
        <w:tc>
          <w:tcPr>
            <w:tcW w:w="661" w:type="dxa"/>
            <w:tcBorders/>
            <w:vAlign w:val="center"/>
          </w:tcPr>
          <w:p>
            <w:pPr>
              <w:pStyle w:val="TableContents"/>
              <w:bidi w:val="0"/>
              <w:spacing w:before="0" w:after="283"/>
              <w:jc w:val="start"/>
              <w:rPr/>
            </w:pPr>
            <w:r>
              <w:rPr/>
              <w:t xml:space="preserve">2501-3000 </w:t>
            </w:r>
          </w:p>
        </w:tc>
        <w:tc>
          <w:tcPr>
            <w:tcW w:w="661" w:type="dxa"/>
            <w:tcBorders/>
            <w:vAlign w:val="center"/>
          </w:tcPr>
          <w:p>
            <w:pPr>
              <w:pStyle w:val="TableContents"/>
              <w:bidi w:val="0"/>
              <w:spacing w:before="0" w:after="283"/>
              <w:jc w:val="start"/>
              <w:rPr/>
            </w:pPr>
            <w:r>
              <w:rPr/>
              <w:t xml:space="preserve">3001-3500 </w:t>
            </w:r>
          </w:p>
        </w:tc>
        <w:tc>
          <w:tcPr>
            <w:tcW w:w="781" w:type="dxa"/>
            <w:tcBorders/>
            <w:vAlign w:val="center"/>
          </w:tcPr>
          <w:p>
            <w:pPr>
              <w:pStyle w:val="TableContents"/>
              <w:bidi w:val="0"/>
              <w:spacing w:before="0" w:after="283"/>
              <w:jc w:val="start"/>
              <w:rPr/>
            </w:pPr>
            <w:r>
              <w:rPr/>
              <w:t xml:space="preserve">&gt; 3500 </w:t>
            </w:r>
          </w:p>
        </w:tc>
        <w:tc>
          <w:tcPr>
            <w:tcW w:w="646" w:type="dxa"/>
            <w:tcBorders/>
            <w:vAlign w:val="center"/>
          </w:tcPr>
          <w:p>
            <w:pPr>
              <w:pStyle w:val="TableContents"/>
              <w:bidi w:val="0"/>
              <w:spacing w:before="0" w:after="283"/>
              <w:jc w:val="start"/>
              <w:rPr/>
            </w:pPr>
            <w:r>
              <w:rPr/>
              <w:t xml:space="preserve">All cases </w:t>
            </w:r>
          </w:p>
        </w:tc>
      </w:tr>
      <w:tr>
        <w:trPr/>
        <w:tc>
          <w:tcPr>
            <w:tcW w:w="154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pPr>
            <w:r>
              <w:rPr/>
              <w:t xml:space="preserve">n= 14 </w:t>
            </w:r>
          </w:p>
        </w:tc>
        <w:tc>
          <w:tcPr>
            <w:tcW w:w="661" w:type="dxa"/>
            <w:tcBorders/>
            <w:vAlign w:val="center"/>
          </w:tcPr>
          <w:p>
            <w:pPr>
              <w:pStyle w:val="TableContents"/>
              <w:bidi w:val="0"/>
              <w:spacing w:before="0" w:after="283"/>
              <w:jc w:val="start"/>
              <w:rPr/>
            </w:pPr>
            <w:r>
              <w:rPr/>
              <w:t xml:space="preserve">N= 60 </w:t>
            </w:r>
          </w:p>
        </w:tc>
        <w:tc>
          <w:tcPr>
            <w:tcW w:w="661" w:type="dxa"/>
            <w:tcBorders/>
            <w:vAlign w:val="center"/>
          </w:tcPr>
          <w:p>
            <w:pPr>
              <w:pStyle w:val="TableContents"/>
              <w:bidi w:val="0"/>
              <w:spacing w:before="0" w:after="283"/>
              <w:jc w:val="start"/>
              <w:rPr/>
            </w:pPr>
            <w:r>
              <w:rPr/>
              <w:t xml:space="preserve">N= 93 </w:t>
            </w:r>
          </w:p>
        </w:tc>
        <w:tc>
          <w:tcPr>
            <w:tcW w:w="661" w:type="dxa"/>
            <w:tcBorders/>
            <w:vAlign w:val="center"/>
          </w:tcPr>
          <w:p>
            <w:pPr>
              <w:pStyle w:val="TableContents"/>
              <w:bidi w:val="0"/>
              <w:spacing w:before="0" w:after="283"/>
              <w:jc w:val="start"/>
              <w:rPr/>
            </w:pPr>
            <w:r>
              <w:rPr/>
              <w:t xml:space="preserve">N= 30 </w:t>
            </w:r>
          </w:p>
        </w:tc>
        <w:tc>
          <w:tcPr>
            <w:tcW w:w="781" w:type="dxa"/>
            <w:tcBorders/>
            <w:vAlign w:val="center"/>
          </w:tcPr>
          <w:p>
            <w:pPr>
              <w:pStyle w:val="TableContents"/>
              <w:bidi w:val="0"/>
              <w:spacing w:before="0" w:after="283"/>
              <w:jc w:val="start"/>
              <w:rPr/>
            </w:pPr>
            <w:r>
              <w:rPr/>
              <w:t xml:space="preserve">N= 3 </w:t>
            </w:r>
          </w:p>
        </w:tc>
        <w:tc>
          <w:tcPr>
            <w:tcW w:w="646" w:type="dxa"/>
            <w:tcBorders/>
            <w:vAlign w:val="center"/>
          </w:tcPr>
          <w:p>
            <w:pPr>
              <w:pStyle w:val="TableContents"/>
              <w:bidi w:val="0"/>
              <w:spacing w:before="0" w:after="283"/>
              <w:jc w:val="start"/>
              <w:rPr/>
            </w:pPr>
            <w:r>
              <w:rPr/>
              <w:t xml:space="preserve">N= 200 </w:t>
            </w:r>
          </w:p>
        </w:tc>
      </w:tr>
      <w:tr>
        <w:trPr/>
        <w:tc>
          <w:tcPr>
            <w:tcW w:w="1546" w:type="dxa"/>
            <w:tcBorders/>
            <w:vAlign w:val="center"/>
          </w:tcPr>
          <w:p>
            <w:pPr>
              <w:pStyle w:val="TableContents"/>
              <w:bidi w:val="0"/>
              <w:spacing w:before="0" w:after="283"/>
              <w:jc w:val="start"/>
              <w:rPr/>
            </w:pPr>
            <w:r>
              <w:rPr/>
              <w:t xml:space="preserve">Methods Average error in gms </w:t>
            </w:r>
          </w:p>
        </w:tc>
        <w:tc>
          <w:tcPr>
            <w:tcW w:w="4131" w:type="dxa"/>
            <w:gridSpan w:val="6"/>
            <w:tcBorders/>
          </w:tcPr>
          <w:p>
            <w:pPr>
              <w:pStyle w:val="TableContents"/>
              <w:bidi w:val="0"/>
              <w:spacing w:before="0" w:after="283"/>
              <w:jc w:val="start"/>
              <w:rPr>
                <w:sz w:val="4"/>
                <w:szCs w:val="4"/>
              </w:rPr>
            </w:pPr>
            <w:r>
              <w:rPr>
                <w:sz w:val="4"/>
                <w:szCs w:val="4"/>
              </w:rPr>
            </w:r>
          </w:p>
        </w:tc>
      </w:tr>
      <w:tr>
        <w:trPr/>
        <w:tc>
          <w:tcPr>
            <w:tcW w:w="1546" w:type="dxa"/>
            <w:tcBorders/>
            <w:vAlign w:val="center"/>
          </w:tcPr>
          <w:p>
            <w:pPr>
              <w:pStyle w:val="TableContents"/>
              <w:bidi w:val="0"/>
              <w:spacing w:before="0" w:after="283"/>
              <w:jc w:val="start"/>
              <w:rPr/>
            </w:pPr>
            <w:r>
              <w:rPr/>
              <w:t xml:space="preserve">AG X SFH </w:t>
            </w:r>
          </w:p>
        </w:tc>
        <w:tc>
          <w:tcPr>
            <w:tcW w:w="721" w:type="dxa"/>
            <w:tcBorders/>
            <w:vAlign w:val="center"/>
          </w:tcPr>
          <w:p>
            <w:pPr>
              <w:pStyle w:val="TableContents"/>
              <w:bidi w:val="0"/>
              <w:spacing w:before="0" w:after="283"/>
              <w:jc w:val="start"/>
              <w:rPr/>
            </w:pPr>
            <w:r>
              <w:rPr/>
              <w:t xml:space="preserve">301. 2 </w:t>
            </w:r>
          </w:p>
        </w:tc>
        <w:tc>
          <w:tcPr>
            <w:tcW w:w="661" w:type="dxa"/>
            <w:tcBorders/>
            <w:vAlign w:val="center"/>
          </w:tcPr>
          <w:p>
            <w:pPr>
              <w:pStyle w:val="TableContents"/>
              <w:bidi w:val="0"/>
              <w:spacing w:before="0" w:after="283"/>
              <w:jc w:val="start"/>
              <w:rPr/>
            </w:pPr>
            <w:r>
              <w:rPr/>
              <w:t xml:space="preserve">218. 2 </w:t>
            </w:r>
          </w:p>
        </w:tc>
        <w:tc>
          <w:tcPr>
            <w:tcW w:w="661" w:type="dxa"/>
            <w:tcBorders/>
            <w:vAlign w:val="center"/>
          </w:tcPr>
          <w:p>
            <w:pPr>
              <w:pStyle w:val="TableContents"/>
              <w:bidi w:val="0"/>
              <w:spacing w:before="0" w:after="283"/>
              <w:jc w:val="start"/>
              <w:rPr/>
            </w:pPr>
            <w:r>
              <w:rPr/>
              <w:t xml:space="preserve">213. 4 </w:t>
            </w:r>
          </w:p>
        </w:tc>
        <w:tc>
          <w:tcPr>
            <w:tcW w:w="661" w:type="dxa"/>
            <w:tcBorders/>
            <w:vAlign w:val="center"/>
          </w:tcPr>
          <w:p>
            <w:pPr>
              <w:pStyle w:val="TableContents"/>
              <w:bidi w:val="0"/>
              <w:spacing w:before="0" w:after="283"/>
              <w:jc w:val="start"/>
              <w:rPr/>
            </w:pPr>
            <w:r>
              <w:rPr/>
              <w:t xml:space="preserve">207 </w:t>
            </w:r>
          </w:p>
        </w:tc>
        <w:tc>
          <w:tcPr>
            <w:tcW w:w="781" w:type="dxa"/>
            <w:tcBorders/>
            <w:vAlign w:val="center"/>
          </w:tcPr>
          <w:p>
            <w:pPr>
              <w:pStyle w:val="TableContents"/>
              <w:bidi w:val="0"/>
              <w:spacing w:before="0" w:after="283"/>
              <w:jc w:val="start"/>
              <w:rPr/>
            </w:pPr>
            <w:r>
              <w:rPr/>
              <w:t xml:space="preserve">182 </w:t>
            </w:r>
          </w:p>
        </w:tc>
        <w:tc>
          <w:tcPr>
            <w:tcW w:w="646" w:type="dxa"/>
            <w:tcBorders/>
            <w:vAlign w:val="center"/>
          </w:tcPr>
          <w:p>
            <w:pPr>
              <w:pStyle w:val="TableContents"/>
              <w:bidi w:val="0"/>
              <w:spacing w:before="0" w:after="283"/>
              <w:jc w:val="start"/>
              <w:rPr/>
            </w:pPr>
            <w:r>
              <w:rPr/>
              <w:t xml:space="preserve">224. 3 </w:t>
            </w:r>
          </w:p>
        </w:tc>
      </w:tr>
      <w:tr>
        <w:trPr/>
        <w:tc>
          <w:tcPr>
            <w:tcW w:w="1546" w:type="dxa"/>
            <w:tcBorders/>
            <w:vAlign w:val="center"/>
          </w:tcPr>
          <w:p>
            <w:pPr>
              <w:pStyle w:val="TableContents"/>
              <w:bidi w:val="0"/>
              <w:spacing w:before="0" w:after="283"/>
              <w:jc w:val="start"/>
              <w:rPr/>
            </w:pPr>
            <w:r>
              <w:rPr/>
              <w:t xml:space="preserve">DAWN’S </w:t>
            </w:r>
          </w:p>
        </w:tc>
        <w:tc>
          <w:tcPr>
            <w:tcW w:w="721" w:type="dxa"/>
            <w:tcBorders/>
            <w:vAlign w:val="center"/>
          </w:tcPr>
          <w:p>
            <w:pPr>
              <w:pStyle w:val="TableContents"/>
              <w:bidi w:val="0"/>
              <w:spacing w:before="0" w:after="283"/>
              <w:jc w:val="start"/>
              <w:rPr/>
            </w:pPr>
            <w:r>
              <w:rPr/>
              <w:t xml:space="preserve">365. 5 </w:t>
            </w:r>
          </w:p>
        </w:tc>
        <w:tc>
          <w:tcPr>
            <w:tcW w:w="661" w:type="dxa"/>
            <w:tcBorders/>
            <w:vAlign w:val="center"/>
          </w:tcPr>
          <w:p>
            <w:pPr>
              <w:pStyle w:val="TableContents"/>
              <w:bidi w:val="0"/>
              <w:spacing w:before="0" w:after="283"/>
              <w:jc w:val="start"/>
              <w:rPr/>
            </w:pPr>
            <w:r>
              <w:rPr/>
              <w:t xml:space="preserve">376 </w:t>
            </w:r>
          </w:p>
        </w:tc>
        <w:tc>
          <w:tcPr>
            <w:tcW w:w="661" w:type="dxa"/>
            <w:tcBorders/>
            <w:vAlign w:val="center"/>
          </w:tcPr>
          <w:p>
            <w:pPr>
              <w:pStyle w:val="TableContents"/>
              <w:bidi w:val="0"/>
              <w:spacing w:before="0" w:after="283"/>
              <w:jc w:val="start"/>
              <w:rPr/>
            </w:pPr>
            <w:r>
              <w:rPr/>
              <w:t xml:space="preserve">381. 9 </w:t>
            </w:r>
          </w:p>
        </w:tc>
        <w:tc>
          <w:tcPr>
            <w:tcW w:w="661" w:type="dxa"/>
            <w:tcBorders/>
            <w:vAlign w:val="center"/>
          </w:tcPr>
          <w:p>
            <w:pPr>
              <w:pStyle w:val="TableContents"/>
              <w:bidi w:val="0"/>
              <w:spacing w:before="0" w:after="283"/>
              <w:jc w:val="start"/>
              <w:rPr/>
            </w:pPr>
            <w:r>
              <w:rPr/>
              <w:t xml:space="preserve">407. 5 </w:t>
            </w:r>
          </w:p>
        </w:tc>
        <w:tc>
          <w:tcPr>
            <w:tcW w:w="781" w:type="dxa"/>
            <w:tcBorders/>
            <w:vAlign w:val="center"/>
          </w:tcPr>
          <w:p>
            <w:pPr>
              <w:pStyle w:val="TableContents"/>
              <w:bidi w:val="0"/>
              <w:spacing w:before="0" w:after="283"/>
              <w:jc w:val="start"/>
              <w:rPr/>
            </w:pPr>
            <w:r>
              <w:rPr/>
              <w:t xml:space="preserve">790. 6 </w:t>
            </w:r>
          </w:p>
        </w:tc>
        <w:tc>
          <w:tcPr>
            <w:tcW w:w="646" w:type="dxa"/>
            <w:tcBorders/>
            <w:vAlign w:val="center"/>
          </w:tcPr>
          <w:p>
            <w:pPr>
              <w:pStyle w:val="TableContents"/>
              <w:bidi w:val="0"/>
              <w:spacing w:before="0" w:after="283"/>
              <w:jc w:val="start"/>
              <w:rPr/>
            </w:pPr>
            <w:r>
              <w:rPr/>
              <w:t xml:space="preserve">464. 3 </w:t>
            </w:r>
          </w:p>
        </w:tc>
      </w:tr>
      <w:tr>
        <w:trPr/>
        <w:tc>
          <w:tcPr>
            <w:tcW w:w="1546" w:type="dxa"/>
            <w:tcBorders/>
            <w:vAlign w:val="center"/>
          </w:tcPr>
          <w:p>
            <w:pPr>
              <w:pStyle w:val="TableContents"/>
              <w:bidi w:val="0"/>
              <w:spacing w:before="0" w:after="283"/>
              <w:jc w:val="start"/>
              <w:rPr/>
            </w:pPr>
            <w:r>
              <w:rPr/>
              <w:t xml:space="preserve">JOHNSON’S </w:t>
            </w:r>
          </w:p>
        </w:tc>
        <w:tc>
          <w:tcPr>
            <w:tcW w:w="721" w:type="dxa"/>
            <w:tcBorders/>
            <w:vAlign w:val="center"/>
          </w:tcPr>
          <w:p>
            <w:pPr>
              <w:pStyle w:val="TableContents"/>
              <w:bidi w:val="0"/>
              <w:spacing w:before="0" w:after="283"/>
              <w:jc w:val="start"/>
              <w:rPr/>
            </w:pPr>
            <w:r>
              <w:rPr/>
              <w:t xml:space="preserve">415. 4 </w:t>
            </w:r>
          </w:p>
        </w:tc>
        <w:tc>
          <w:tcPr>
            <w:tcW w:w="661" w:type="dxa"/>
            <w:tcBorders/>
            <w:vAlign w:val="center"/>
          </w:tcPr>
          <w:p>
            <w:pPr>
              <w:pStyle w:val="TableContents"/>
              <w:bidi w:val="0"/>
              <w:spacing w:before="0" w:after="283"/>
              <w:jc w:val="start"/>
              <w:rPr/>
            </w:pPr>
            <w:r>
              <w:rPr/>
              <w:t xml:space="preserve">339. 6 </w:t>
            </w:r>
          </w:p>
        </w:tc>
        <w:tc>
          <w:tcPr>
            <w:tcW w:w="661" w:type="dxa"/>
            <w:tcBorders/>
            <w:vAlign w:val="center"/>
          </w:tcPr>
          <w:p>
            <w:pPr>
              <w:pStyle w:val="TableContents"/>
              <w:bidi w:val="0"/>
              <w:spacing w:before="0" w:after="283"/>
              <w:jc w:val="start"/>
              <w:rPr/>
            </w:pPr>
            <w:r>
              <w:rPr/>
              <w:t xml:space="preserve">299. 4 </w:t>
            </w:r>
          </w:p>
        </w:tc>
        <w:tc>
          <w:tcPr>
            <w:tcW w:w="661" w:type="dxa"/>
            <w:tcBorders/>
            <w:vAlign w:val="center"/>
          </w:tcPr>
          <w:p>
            <w:pPr>
              <w:pStyle w:val="TableContents"/>
              <w:bidi w:val="0"/>
              <w:spacing w:before="0" w:after="283"/>
              <w:jc w:val="start"/>
              <w:rPr/>
            </w:pPr>
            <w:r>
              <w:rPr/>
              <w:t xml:space="preserve">300 </w:t>
            </w:r>
          </w:p>
        </w:tc>
        <w:tc>
          <w:tcPr>
            <w:tcW w:w="781" w:type="dxa"/>
            <w:tcBorders/>
            <w:vAlign w:val="center"/>
          </w:tcPr>
          <w:p>
            <w:pPr>
              <w:pStyle w:val="TableContents"/>
              <w:bidi w:val="0"/>
              <w:spacing w:before="0" w:after="283"/>
              <w:jc w:val="start"/>
              <w:rPr/>
            </w:pPr>
            <w:r>
              <w:rPr/>
              <w:t xml:space="preserve">108 </w:t>
            </w:r>
          </w:p>
        </w:tc>
        <w:tc>
          <w:tcPr>
            <w:tcW w:w="646" w:type="dxa"/>
            <w:tcBorders/>
            <w:vAlign w:val="center"/>
          </w:tcPr>
          <w:p>
            <w:pPr>
              <w:pStyle w:val="TableContents"/>
              <w:bidi w:val="0"/>
              <w:spacing w:before="0" w:after="283"/>
              <w:jc w:val="start"/>
              <w:rPr/>
            </w:pPr>
            <w:r>
              <w:rPr/>
              <w:t xml:space="preserve">292. 5 </w:t>
            </w:r>
          </w:p>
        </w:tc>
      </w:tr>
      <w:tr>
        <w:trPr/>
        <w:tc>
          <w:tcPr>
            <w:tcW w:w="1546" w:type="dxa"/>
            <w:tcBorders/>
            <w:vAlign w:val="center"/>
          </w:tcPr>
          <w:p>
            <w:pPr>
              <w:pStyle w:val="TableContents"/>
              <w:bidi w:val="0"/>
              <w:spacing w:before="0" w:after="283"/>
              <w:jc w:val="start"/>
              <w:rPr/>
            </w:pPr>
            <w:r>
              <w:rPr/>
              <w:t xml:space="preserve">HADLOCK’S </w:t>
            </w:r>
          </w:p>
        </w:tc>
        <w:tc>
          <w:tcPr>
            <w:tcW w:w="721" w:type="dxa"/>
            <w:tcBorders/>
            <w:vAlign w:val="center"/>
          </w:tcPr>
          <w:p>
            <w:pPr>
              <w:pStyle w:val="TableContents"/>
              <w:bidi w:val="0"/>
              <w:spacing w:before="0" w:after="283"/>
              <w:jc w:val="start"/>
              <w:rPr/>
            </w:pPr>
            <w:r>
              <w:rPr/>
              <w:t xml:space="preserve">362. 5 </w:t>
            </w:r>
          </w:p>
        </w:tc>
        <w:tc>
          <w:tcPr>
            <w:tcW w:w="661" w:type="dxa"/>
            <w:tcBorders/>
            <w:vAlign w:val="center"/>
          </w:tcPr>
          <w:p>
            <w:pPr>
              <w:pStyle w:val="TableContents"/>
              <w:bidi w:val="0"/>
              <w:spacing w:before="0" w:after="283"/>
              <w:jc w:val="start"/>
              <w:rPr/>
            </w:pPr>
            <w:r>
              <w:rPr/>
              <w:t xml:space="preserve">256. 2 </w:t>
            </w:r>
          </w:p>
        </w:tc>
        <w:tc>
          <w:tcPr>
            <w:tcW w:w="661" w:type="dxa"/>
            <w:tcBorders/>
            <w:vAlign w:val="center"/>
          </w:tcPr>
          <w:p>
            <w:pPr>
              <w:pStyle w:val="TableContents"/>
              <w:bidi w:val="0"/>
              <w:spacing w:before="0" w:after="283"/>
              <w:jc w:val="start"/>
              <w:rPr/>
            </w:pPr>
            <w:r>
              <w:rPr/>
              <w:t xml:space="preserve">217. 4 </w:t>
            </w:r>
          </w:p>
        </w:tc>
        <w:tc>
          <w:tcPr>
            <w:tcW w:w="661" w:type="dxa"/>
            <w:tcBorders/>
            <w:vAlign w:val="center"/>
          </w:tcPr>
          <w:p>
            <w:pPr>
              <w:pStyle w:val="TableContents"/>
              <w:bidi w:val="0"/>
              <w:spacing w:before="0" w:after="283"/>
              <w:jc w:val="start"/>
              <w:rPr/>
            </w:pPr>
            <w:r>
              <w:rPr/>
              <w:t xml:space="preserve">219. 3 </w:t>
            </w:r>
          </w:p>
        </w:tc>
        <w:tc>
          <w:tcPr>
            <w:tcW w:w="781" w:type="dxa"/>
            <w:tcBorders/>
            <w:vAlign w:val="center"/>
          </w:tcPr>
          <w:p>
            <w:pPr>
              <w:pStyle w:val="TableContents"/>
              <w:bidi w:val="0"/>
              <w:spacing w:before="0" w:after="283"/>
              <w:jc w:val="start"/>
              <w:rPr/>
            </w:pPr>
            <w:r>
              <w:rPr/>
              <w:t xml:space="preserve">440 </w:t>
            </w:r>
          </w:p>
        </w:tc>
        <w:tc>
          <w:tcPr>
            <w:tcW w:w="646" w:type="dxa"/>
            <w:tcBorders/>
            <w:vAlign w:val="center"/>
          </w:tcPr>
          <w:p>
            <w:pPr>
              <w:pStyle w:val="TableContents"/>
              <w:bidi w:val="0"/>
              <w:spacing w:before="0" w:after="283"/>
              <w:jc w:val="start"/>
              <w:rPr/>
            </w:pPr>
            <w:r>
              <w:rPr/>
              <w:t xml:space="preserve">299. 1 </w:t>
            </w:r>
          </w:p>
        </w:tc>
      </w:tr>
      <w:tr>
        <w:trPr/>
        <w:tc>
          <w:tcPr>
            <w:tcW w:w="154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8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Average error in all fetal weight groups except in &gt; 3500 gms was least with AG X SFH closely followed by Hadlock’s ultrasound method. </w:t>
      </w:r>
    </w:p>
    <w:p>
      <w:pPr>
        <w:pStyle w:val="TextBody"/>
        <w:bidi w:val="0"/>
        <w:spacing w:before="0" w:after="283"/>
        <w:jc w:val="start"/>
        <w:rPr/>
      </w:pPr>
      <w:r>
        <w:rPr/>
        <w:t xml:space="preserve">Average error in &gt; 3500 gms group was least with Johnson’s formula. </w:t>
      </w:r>
    </w:p>
    <w:p>
      <w:pPr>
        <w:pStyle w:val="TextBody"/>
        <w:bidi w:val="0"/>
        <w:spacing w:before="0" w:after="283"/>
        <w:jc w:val="start"/>
        <w:rPr/>
      </w:pPr>
      <w:r>
        <w:rPr/>
        <w:t xml:space="preserve">TABLE III : NUMBER OF CASES UNDERESTIMATED AND OVERESTIMATED IN VARIOUS FORMULAS </w:t>
      </w:r>
    </w:p>
    <w:tbl>
      <w:tblPr>
        <w:tblW w:w="5677" w:type="dxa"/>
        <w:jc w:val="start"/>
        <w:tblInd w:w="0" w:type="dxa"/>
        <w:tblLayout w:type="fixed"/>
        <w:tblCellMar>
          <w:top w:w="28" w:type="dxa"/>
          <w:start w:w="28" w:type="dxa"/>
          <w:bottom w:w="28" w:type="dxa"/>
          <w:end w:w="28" w:type="dxa"/>
        </w:tblCellMar>
      </w:tblPr>
      <w:tblGrid>
        <w:gridCol w:w="1594"/>
        <w:gridCol w:w="2078"/>
        <w:gridCol w:w="2005"/>
      </w:tblGrid>
      <w:tr>
        <w:trPr/>
        <w:tc>
          <w:tcPr>
            <w:tcW w:w="1594" w:type="dxa"/>
            <w:tcBorders/>
            <w:vAlign w:val="center"/>
          </w:tcPr>
          <w:p>
            <w:pPr>
              <w:pStyle w:val="TableContents"/>
              <w:bidi w:val="0"/>
              <w:spacing w:before="0" w:after="283"/>
              <w:jc w:val="start"/>
              <w:rPr/>
            </w:pPr>
            <w:r>
              <w:rPr/>
              <w:t xml:space="preserve">Method </w:t>
            </w:r>
          </w:p>
        </w:tc>
        <w:tc>
          <w:tcPr>
            <w:tcW w:w="2078" w:type="dxa"/>
            <w:tcBorders/>
            <w:vAlign w:val="center"/>
          </w:tcPr>
          <w:p>
            <w:pPr>
              <w:pStyle w:val="TableContents"/>
              <w:bidi w:val="0"/>
              <w:spacing w:before="0" w:after="283"/>
              <w:jc w:val="start"/>
              <w:rPr/>
            </w:pPr>
            <w:r>
              <w:rPr/>
              <w:t xml:space="preserve">Cases underestimated </w:t>
            </w:r>
          </w:p>
        </w:tc>
        <w:tc>
          <w:tcPr>
            <w:tcW w:w="2005" w:type="dxa"/>
            <w:tcBorders/>
            <w:vAlign w:val="center"/>
          </w:tcPr>
          <w:p>
            <w:pPr>
              <w:pStyle w:val="TableContents"/>
              <w:bidi w:val="0"/>
              <w:spacing w:before="0" w:after="283"/>
              <w:jc w:val="start"/>
              <w:rPr/>
            </w:pPr>
            <w:r>
              <w:rPr/>
              <w:t xml:space="preserve">Cases overestimated </w:t>
            </w:r>
          </w:p>
        </w:tc>
      </w:tr>
      <w:tr>
        <w:trPr/>
        <w:tc>
          <w:tcPr>
            <w:tcW w:w="1594" w:type="dxa"/>
            <w:tcBorders/>
            <w:vAlign w:val="center"/>
          </w:tcPr>
          <w:p>
            <w:pPr>
              <w:pStyle w:val="TableContents"/>
              <w:bidi w:val="0"/>
              <w:spacing w:before="0" w:after="283"/>
              <w:jc w:val="start"/>
              <w:rPr/>
            </w:pPr>
            <w:r>
              <w:rPr/>
              <w:t xml:space="preserve">AG X SFH </w:t>
            </w:r>
          </w:p>
        </w:tc>
        <w:tc>
          <w:tcPr>
            <w:tcW w:w="2078" w:type="dxa"/>
            <w:tcBorders/>
            <w:vAlign w:val="center"/>
          </w:tcPr>
          <w:p>
            <w:pPr>
              <w:pStyle w:val="TableContents"/>
              <w:bidi w:val="0"/>
              <w:spacing w:before="0" w:after="283"/>
              <w:jc w:val="start"/>
              <w:rPr/>
            </w:pPr>
            <w:r>
              <w:rPr/>
              <w:t xml:space="preserve">140 </w:t>
            </w:r>
          </w:p>
        </w:tc>
        <w:tc>
          <w:tcPr>
            <w:tcW w:w="2005" w:type="dxa"/>
            <w:tcBorders/>
            <w:vAlign w:val="center"/>
          </w:tcPr>
          <w:p>
            <w:pPr>
              <w:pStyle w:val="TableContents"/>
              <w:bidi w:val="0"/>
              <w:spacing w:before="0" w:after="283"/>
              <w:jc w:val="start"/>
              <w:rPr/>
            </w:pPr>
            <w:r>
              <w:rPr/>
              <w:t xml:space="preserve">60 </w:t>
            </w:r>
          </w:p>
        </w:tc>
      </w:tr>
      <w:tr>
        <w:trPr/>
        <w:tc>
          <w:tcPr>
            <w:tcW w:w="1594" w:type="dxa"/>
            <w:tcBorders/>
            <w:vAlign w:val="center"/>
          </w:tcPr>
          <w:p>
            <w:pPr>
              <w:pStyle w:val="TableContents"/>
              <w:bidi w:val="0"/>
              <w:spacing w:before="0" w:after="283"/>
              <w:jc w:val="start"/>
              <w:rPr/>
            </w:pPr>
            <w:r>
              <w:rPr/>
              <w:t xml:space="preserve">DAWN’S </w:t>
            </w:r>
          </w:p>
        </w:tc>
        <w:tc>
          <w:tcPr>
            <w:tcW w:w="2078" w:type="dxa"/>
            <w:tcBorders/>
            <w:vAlign w:val="center"/>
          </w:tcPr>
          <w:p>
            <w:pPr>
              <w:pStyle w:val="TableContents"/>
              <w:bidi w:val="0"/>
              <w:spacing w:before="0" w:after="283"/>
              <w:jc w:val="start"/>
              <w:rPr/>
            </w:pPr>
            <w:r>
              <w:rPr/>
              <w:t xml:space="preserve">132 </w:t>
            </w:r>
          </w:p>
        </w:tc>
        <w:tc>
          <w:tcPr>
            <w:tcW w:w="2005" w:type="dxa"/>
            <w:tcBorders/>
            <w:vAlign w:val="center"/>
          </w:tcPr>
          <w:p>
            <w:pPr>
              <w:pStyle w:val="TableContents"/>
              <w:bidi w:val="0"/>
              <w:spacing w:before="0" w:after="283"/>
              <w:jc w:val="start"/>
              <w:rPr/>
            </w:pPr>
            <w:r>
              <w:rPr/>
              <w:t xml:space="preserve">68 </w:t>
            </w:r>
          </w:p>
        </w:tc>
      </w:tr>
      <w:tr>
        <w:trPr/>
        <w:tc>
          <w:tcPr>
            <w:tcW w:w="1594" w:type="dxa"/>
            <w:tcBorders/>
            <w:vAlign w:val="center"/>
          </w:tcPr>
          <w:p>
            <w:pPr>
              <w:pStyle w:val="TableContents"/>
              <w:bidi w:val="0"/>
              <w:spacing w:before="0" w:after="283"/>
              <w:jc w:val="start"/>
              <w:rPr/>
            </w:pPr>
            <w:r>
              <w:rPr/>
              <w:t xml:space="preserve">JOHNSON’S </w:t>
            </w:r>
          </w:p>
        </w:tc>
        <w:tc>
          <w:tcPr>
            <w:tcW w:w="2078" w:type="dxa"/>
            <w:tcBorders/>
            <w:vAlign w:val="center"/>
          </w:tcPr>
          <w:p>
            <w:pPr>
              <w:pStyle w:val="TableContents"/>
              <w:bidi w:val="0"/>
              <w:spacing w:before="0" w:after="283"/>
              <w:jc w:val="start"/>
              <w:rPr/>
            </w:pPr>
            <w:r>
              <w:rPr/>
              <w:t xml:space="preserve">64 </w:t>
            </w:r>
          </w:p>
        </w:tc>
        <w:tc>
          <w:tcPr>
            <w:tcW w:w="2005" w:type="dxa"/>
            <w:tcBorders/>
            <w:vAlign w:val="center"/>
          </w:tcPr>
          <w:p>
            <w:pPr>
              <w:pStyle w:val="TableContents"/>
              <w:bidi w:val="0"/>
              <w:spacing w:before="0" w:after="283"/>
              <w:jc w:val="start"/>
              <w:rPr/>
            </w:pPr>
            <w:r>
              <w:rPr/>
              <w:t xml:space="preserve">146 </w:t>
            </w:r>
          </w:p>
        </w:tc>
      </w:tr>
      <w:tr>
        <w:trPr/>
        <w:tc>
          <w:tcPr>
            <w:tcW w:w="1594" w:type="dxa"/>
            <w:tcBorders/>
            <w:vAlign w:val="center"/>
          </w:tcPr>
          <w:p>
            <w:pPr>
              <w:pStyle w:val="TableContents"/>
              <w:bidi w:val="0"/>
              <w:spacing w:before="0" w:after="283"/>
              <w:jc w:val="start"/>
              <w:rPr/>
            </w:pPr>
            <w:r>
              <w:rPr/>
              <w:t xml:space="preserve">HADLOCK’S </w:t>
            </w:r>
          </w:p>
        </w:tc>
        <w:tc>
          <w:tcPr>
            <w:tcW w:w="2078" w:type="dxa"/>
            <w:tcBorders/>
            <w:vAlign w:val="center"/>
          </w:tcPr>
          <w:p>
            <w:pPr>
              <w:pStyle w:val="TableContents"/>
              <w:bidi w:val="0"/>
              <w:spacing w:before="0" w:after="283"/>
              <w:jc w:val="start"/>
              <w:rPr/>
            </w:pPr>
            <w:r>
              <w:rPr/>
              <w:t xml:space="preserve">84 </w:t>
            </w:r>
          </w:p>
        </w:tc>
        <w:tc>
          <w:tcPr>
            <w:tcW w:w="2005" w:type="dxa"/>
            <w:tcBorders/>
            <w:vAlign w:val="center"/>
          </w:tcPr>
          <w:p>
            <w:pPr>
              <w:pStyle w:val="TableContents"/>
              <w:bidi w:val="0"/>
              <w:spacing w:before="0" w:after="283"/>
              <w:jc w:val="start"/>
              <w:rPr/>
            </w:pPr>
            <w:r>
              <w:rPr/>
              <w:t xml:space="preserve">116 </w:t>
            </w:r>
          </w:p>
        </w:tc>
      </w:tr>
    </w:tbl>
    <w:p>
      <w:pPr>
        <w:pStyle w:val="TextBody"/>
        <w:bidi w:val="0"/>
        <w:spacing w:before="0" w:after="283"/>
        <w:jc w:val="start"/>
        <w:rPr/>
      </w:pPr>
      <w:r>
        <w:rPr/>
        <w:t xml:space="preserve">Number of over and under-estimations in all fetal weight groups was calculated. </w:t>
      </w:r>
    </w:p>
    <w:p>
      <w:pPr>
        <w:pStyle w:val="TextBody"/>
        <w:bidi w:val="0"/>
        <w:spacing w:before="0" w:after="283"/>
        <w:jc w:val="start"/>
        <w:rPr/>
      </w:pPr>
      <w:r>
        <w:rPr/>
        <w:t xml:space="preserve">AG X SFH and Dawn’s formula had a tendency to underestimate. The other 2 methods overestimated. </w:t>
      </w:r>
    </w:p>
    <w:p>
      <w:pPr>
        <w:pStyle w:val="TextBody"/>
        <w:bidi w:val="0"/>
        <w:spacing w:before="0" w:after="283"/>
        <w:jc w:val="start"/>
        <w:rPr/>
      </w:pPr>
      <w:r>
        <w:rPr/>
        <w:t xml:space="preserve">In &gt; 3500 gms group, all methods underestimated. </w:t>
      </w:r>
    </w:p>
    <w:p>
      <w:pPr>
        <w:pStyle w:val="TextBody"/>
        <w:bidi w:val="0"/>
        <w:spacing w:before="0" w:after="283"/>
        <w:jc w:val="start"/>
        <w:rPr/>
      </w:pPr>
      <w:r>
        <w:rPr/>
        <w:t xml:space="preserve">TABLE IV : MAXIMUM ERROR IN ALL FETAL WEIGHT GROUPS </w:t>
      </w:r>
    </w:p>
    <w:tbl>
      <w:tblPr>
        <w:tblW w:w="5677" w:type="dxa"/>
        <w:jc w:val="start"/>
        <w:tblInd w:w="0" w:type="dxa"/>
        <w:tblLayout w:type="fixed"/>
        <w:tblCellMar>
          <w:top w:w="28" w:type="dxa"/>
          <w:start w:w="28" w:type="dxa"/>
          <w:bottom w:w="28" w:type="dxa"/>
          <w:end w:w="28" w:type="dxa"/>
        </w:tblCellMar>
      </w:tblPr>
      <w:tblGrid>
        <w:gridCol w:w="1294"/>
        <w:gridCol w:w="726"/>
        <w:gridCol w:w="712"/>
        <w:gridCol w:w="712"/>
        <w:gridCol w:w="712"/>
        <w:gridCol w:w="786"/>
        <w:gridCol w:w="735"/>
      </w:tblGrid>
      <w:tr>
        <w:trPr/>
        <w:tc>
          <w:tcPr>
            <w:tcW w:w="1294" w:type="dxa"/>
            <w:tcBorders/>
            <w:vAlign w:val="center"/>
          </w:tcPr>
          <w:p>
            <w:pPr>
              <w:pStyle w:val="TableContents"/>
              <w:bidi w:val="0"/>
              <w:spacing w:before="0" w:after="283"/>
              <w:jc w:val="start"/>
              <w:rPr/>
            </w:pPr>
            <w:r>
              <w:rPr/>
              <w:t xml:space="preserve">Birth Weight </w:t>
            </w:r>
          </w:p>
        </w:tc>
        <w:tc>
          <w:tcPr>
            <w:tcW w:w="726" w:type="dxa"/>
            <w:tcBorders/>
          </w:tcPr>
          <w:p>
            <w:pPr>
              <w:pStyle w:val="TableContents"/>
              <w:bidi w:val="0"/>
              <w:spacing w:before="0" w:after="283"/>
              <w:jc w:val="start"/>
              <w:rPr>
                <w:sz w:val="4"/>
                <w:szCs w:val="4"/>
              </w:rPr>
            </w:pPr>
            <w:r>
              <w:rPr>
                <w:sz w:val="4"/>
                <w:szCs w:val="4"/>
              </w:rPr>
            </w:r>
          </w:p>
        </w:tc>
        <w:tc>
          <w:tcPr>
            <w:tcW w:w="712" w:type="dxa"/>
            <w:tcBorders/>
          </w:tcPr>
          <w:p>
            <w:pPr>
              <w:pStyle w:val="TableContents"/>
              <w:bidi w:val="0"/>
              <w:spacing w:before="0" w:after="283"/>
              <w:jc w:val="start"/>
              <w:rPr>
                <w:sz w:val="4"/>
                <w:szCs w:val="4"/>
              </w:rPr>
            </w:pPr>
            <w:r>
              <w:rPr>
                <w:sz w:val="4"/>
                <w:szCs w:val="4"/>
              </w:rPr>
            </w:r>
          </w:p>
        </w:tc>
        <w:tc>
          <w:tcPr>
            <w:tcW w:w="712" w:type="dxa"/>
            <w:tcBorders/>
          </w:tcPr>
          <w:p>
            <w:pPr>
              <w:pStyle w:val="TableContents"/>
              <w:bidi w:val="0"/>
              <w:spacing w:before="0" w:after="283"/>
              <w:jc w:val="start"/>
              <w:rPr>
                <w:sz w:val="4"/>
                <w:szCs w:val="4"/>
              </w:rPr>
            </w:pPr>
            <w:r>
              <w:rPr>
                <w:sz w:val="4"/>
                <w:szCs w:val="4"/>
              </w:rPr>
            </w:r>
          </w:p>
        </w:tc>
        <w:tc>
          <w:tcPr>
            <w:tcW w:w="712" w:type="dxa"/>
            <w:tcBorders/>
          </w:tcPr>
          <w:p>
            <w:pPr>
              <w:pStyle w:val="TableContents"/>
              <w:bidi w:val="0"/>
              <w:spacing w:before="0" w:after="283"/>
              <w:jc w:val="start"/>
              <w:rPr>
                <w:sz w:val="4"/>
                <w:szCs w:val="4"/>
              </w:rPr>
            </w:pPr>
            <w:r>
              <w:rPr>
                <w:sz w:val="4"/>
                <w:szCs w:val="4"/>
              </w:rPr>
            </w:r>
          </w:p>
        </w:tc>
        <w:tc>
          <w:tcPr>
            <w:tcW w:w="786" w:type="dxa"/>
            <w:tcBorders/>
          </w:tcPr>
          <w:p>
            <w:pPr>
              <w:pStyle w:val="TableContents"/>
              <w:bidi w:val="0"/>
              <w:spacing w:before="0" w:after="283"/>
              <w:jc w:val="start"/>
              <w:rPr>
                <w:sz w:val="4"/>
                <w:szCs w:val="4"/>
              </w:rPr>
            </w:pPr>
            <w:r>
              <w:rPr>
                <w:sz w:val="4"/>
                <w:szCs w:val="4"/>
              </w:rPr>
            </w:r>
          </w:p>
        </w:tc>
        <w:tc>
          <w:tcPr>
            <w:tcW w:w="735" w:type="dxa"/>
            <w:tcBorders/>
          </w:tcPr>
          <w:p>
            <w:pPr>
              <w:pStyle w:val="TableContents"/>
              <w:bidi w:val="0"/>
              <w:spacing w:before="0" w:after="283"/>
              <w:jc w:val="start"/>
              <w:rPr>
                <w:sz w:val="4"/>
                <w:szCs w:val="4"/>
              </w:rPr>
            </w:pPr>
            <w:r>
              <w:rPr>
                <w:sz w:val="4"/>
                <w:szCs w:val="4"/>
              </w:rPr>
            </w:r>
          </w:p>
        </w:tc>
      </w:tr>
      <w:tr>
        <w:trPr/>
        <w:tc>
          <w:tcPr>
            <w:tcW w:w="1294" w:type="dxa"/>
            <w:tcBorders/>
            <w:vAlign w:val="center"/>
          </w:tcPr>
          <w:p>
            <w:pPr>
              <w:pStyle w:val="TableContents"/>
              <w:bidi w:val="0"/>
              <w:spacing w:before="0" w:after="283"/>
              <w:jc w:val="start"/>
              <w:rPr>
                <w:sz w:val="4"/>
                <w:szCs w:val="4"/>
              </w:rPr>
            </w:pPr>
            <w:r>
              <w:rPr>
                <w:sz w:val="4"/>
                <w:szCs w:val="4"/>
              </w:rPr>
            </w:r>
          </w:p>
        </w:tc>
        <w:tc>
          <w:tcPr>
            <w:tcW w:w="726" w:type="dxa"/>
            <w:tcBorders/>
            <w:vAlign w:val="center"/>
          </w:tcPr>
          <w:p>
            <w:pPr>
              <w:pStyle w:val="TableContents"/>
              <w:bidi w:val="0"/>
              <w:spacing w:before="0" w:after="283"/>
              <w:jc w:val="start"/>
              <w:rPr/>
            </w:pPr>
            <w:r>
              <w:rPr/>
              <w:t xml:space="preserve">&lt;2000 </w:t>
            </w:r>
          </w:p>
        </w:tc>
        <w:tc>
          <w:tcPr>
            <w:tcW w:w="712" w:type="dxa"/>
            <w:tcBorders/>
            <w:vAlign w:val="center"/>
          </w:tcPr>
          <w:p>
            <w:pPr>
              <w:pStyle w:val="TableContents"/>
              <w:bidi w:val="0"/>
              <w:spacing w:before="0" w:after="283"/>
              <w:jc w:val="start"/>
              <w:rPr/>
            </w:pPr>
            <w:r>
              <w:rPr/>
              <w:t xml:space="preserve">2001-2500 </w:t>
            </w:r>
          </w:p>
        </w:tc>
        <w:tc>
          <w:tcPr>
            <w:tcW w:w="712" w:type="dxa"/>
            <w:tcBorders/>
            <w:vAlign w:val="center"/>
          </w:tcPr>
          <w:p>
            <w:pPr>
              <w:pStyle w:val="TableContents"/>
              <w:bidi w:val="0"/>
              <w:spacing w:before="0" w:after="283"/>
              <w:jc w:val="start"/>
              <w:rPr/>
            </w:pPr>
            <w:r>
              <w:rPr/>
              <w:t xml:space="preserve">2501-3000 </w:t>
            </w:r>
          </w:p>
        </w:tc>
        <w:tc>
          <w:tcPr>
            <w:tcW w:w="712" w:type="dxa"/>
            <w:tcBorders/>
            <w:vAlign w:val="center"/>
          </w:tcPr>
          <w:p>
            <w:pPr>
              <w:pStyle w:val="TableContents"/>
              <w:bidi w:val="0"/>
              <w:spacing w:before="0" w:after="283"/>
              <w:jc w:val="start"/>
              <w:rPr/>
            </w:pPr>
            <w:r>
              <w:rPr/>
              <w:t xml:space="preserve">3001-3500 </w:t>
            </w:r>
          </w:p>
        </w:tc>
        <w:tc>
          <w:tcPr>
            <w:tcW w:w="786" w:type="dxa"/>
            <w:tcBorders/>
            <w:vAlign w:val="center"/>
          </w:tcPr>
          <w:p>
            <w:pPr>
              <w:pStyle w:val="TableContents"/>
              <w:bidi w:val="0"/>
              <w:spacing w:before="0" w:after="283"/>
              <w:jc w:val="start"/>
              <w:rPr/>
            </w:pPr>
            <w:r>
              <w:rPr/>
              <w:t xml:space="preserve">&gt; 3500 </w:t>
            </w:r>
          </w:p>
        </w:tc>
        <w:tc>
          <w:tcPr>
            <w:tcW w:w="735" w:type="dxa"/>
            <w:tcBorders/>
            <w:vAlign w:val="center"/>
          </w:tcPr>
          <w:p>
            <w:pPr>
              <w:pStyle w:val="TableContents"/>
              <w:bidi w:val="0"/>
              <w:spacing w:before="0" w:after="283"/>
              <w:jc w:val="start"/>
              <w:rPr/>
            </w:pPr>
            <w:r>
              <w:rPr/>
              <w:t xml:space="preserve">All cases n= 4 </w:t>
            </w:r>
          </w:p>
        </w:tc>
      </w:tr>
      <w:tr>
        <w:trPr/>
        <w:tc>
          <w:tcPr>
            <w:tcW w:w="1294" w:type="dxa"/>
            <w:tcBorders/>
            <w:vAlign w:val="center"/>
          </w:tcPr>
          <w:p>
            <w:pPr>
              <w:pStyle w:val="TableContents"/>
              <w:bidi w:val="0"/>
              <w:spacing w:before="0" w:after="283"/>
              <w:jc w:val="start"/>
              <w:rPr/>
            </w:pPr>
            <w:r>
              <w:rPr/>
              <w:t xml:space="preserve">Method Maximum Error in gms </w:t>
            </w:r>
          </w:p>
        </w:tc>
        <w:tc>
          <w:tcPr>
            <w:tcW w:w="4383" w:type="dxa"/>
            <w:gridSpan w:val="6"/>
            <w:tcBorders/>
          </w:tcPr>
          <w:p>
            <w:pPr>
              <w:pStyle w:val="TableContents"/>
              <w:bidi w:val="0"/>
              <w:spacing w:before="0" w:after="283"/>
              <w:jc w:val="start"/>
              <w:rPr>
                <w:sz w:val="4"/>
                <w:szCs w:val="4"/>
              </w:rPr>
            </w:pPr>
            <w:r>
              <w:rPr>
                <w:sz w:val="4"/>
                <w:szCs w:val="4"/>
              </w:rPr>
            </w:r>
          </w:p>
        </w:tc>
      </w:tr>
      <w:tr>
        <w:trPr/>
        <w:tc>
          <w:tcPr>
            <w:tcW w:w="1294" w:type="dxa"/>
            <w:tcBorders/>
            <w:vAlign w:val="center"/>
          </w:tcPr>
          <w:p>
            <w:pPr>
              <w:pStyle w:val="TableContents"/>
              <w:bidi w:val="0"/>
              <w:spacing w:before="0" w:after="283"/>
              <w:jc w:val="start"/>
              <w:rPr/>
            </w:pPr>
            <w:r>
              <w:rPr/>
              <w:t xml:space="preserve">AG X SFH </w:t>
            </w:r>
          </w:p>
        </w:tc>
        <w:tc>
          <w:tcPr>
            <w:tcW w:w="726" w:type="dxa"/>
            <w:tcBorders/>
            <w:vAlign w:val="center"/>
          </w:tcPr>
          <w:p>
            <w:pPr>
              <w:pStyle w:val="TableContents"/>
              <w:bidi w:val="0"/>
              <w:spacing w:before="0" w:after="283"/>
              <w:jc w:val="start"/>
              <w:rPr/>
            </w:pPr>
            <w:r>
              <w:rPr/>
              <w:t xml:space="preserve">530 </w:t>
            </w:r>
          </w:p>
        </w:tc>
        <w:tc>
          <w:tcPr>
            <w:tcW w:w="712" w:type="dxa"/>
            <w:tcBorders/>
            <w:vAlign w:val="center"/>
          </w:tcPr>
          <w:p>
            <w:pPr>
              <w:pStyle w:val="TableContents"/>
              <w:bidi w:val="0"/>
              <w:spacing w:before="0" w:after="283"/>
              <w:jc w:val="start"/>
              <w:rPr/>
            </w:pPr>
            <w:r>
              <w:rPr/>
              <w:t xml:space="preserve">584 </w:t>
            </w:r>
          </w:p>
        </w:tc>
        <w:tc>
          <w:tcPr>
            <w:tcW w:w="712" w:type="dxa"/>
            <w:tcBorders/>
            <w:vAlign w:val="center"/>
          </w:tcPr>
          <w:p>
            <w:pPr>
              <w:pStyle w:val="TableContents"/>
              <w:bidi w:val="0"/>
              <w:spacing w:before="0" w:after="283"/>
              <w:jc w:val="start"/>
              <w:rPr/>
            </w:pPr>
            <w:r>
              <w:rPr/>
              <w:t xml:space="preserve">610 </w:t>
            </w:r>
          </w:p>
        </w:tc>
        <w:tc>
          <w:tcPr>
            <w:tcW w:w="712" w:type="dxa"/>
            <w:tcBorders/>
            <w:vAlign w:val="center"/>
          </w:tcPr>
          <w:p>
            <w:pPr>
              <w:pStyle w:val="TableContents"/>
              <w:bidi w:val="0"/>
              <w:spacing w:before="0" w:after="283"/>
              <w:jc w:val="start"/>
              <w:rPr/>
            </w:pPr>
            <w:r>
              <w:rPr/>
              <w:t xml:space="preserve">734 </w:t>
            </w:r>
          </w:p>
        </w:tc>
        <w:tc>
          <w:tcPr>
            <w:tcW w:w="786" w:type="dxa"/>
            <w:tcBorders/>
            <w:vAlign w:val="center"/>
          </w:tcPr>
          <w:p>
            <w:pPr>
              <w:pStyle w:val="TableContents"/>
              <w:bidi w:val="0"/>
              <w:spacing w:before="0" w:after="283"/>
              <w:jc w:val="start"/>
              <w:rPr/>
            </w:pPr>
            <w:r>
              <w:rPr/>
              <w:t xml:space="preserve">213 </w:t>
            </w:r>
          </w:p>
        </w:tc>
        <w:tc>
          <w:tcPr>
            <w:tcW w:w="735" w:type="dxa"/>
            <w:tcBorders/>
            <w:vAlign w:val="center"/>
          </w:tcPr>
          <w:p>
            <w:pPr>
              <w:pStyle w:val="TableContents"/>
              <w:bidi w:val="0"/>
              <w:spacing w:before="0" w:after="283"/>
              <w:jc w:val="start"/>
              <w:rPr/>
            </w:pPr>
            <w:r>
              <w:rPr/>
              <w:t xml:space="preserve">534. 2 </w:t>
            </w:r>
          </w:p>
        </w:tc>
      </w:tr>
      <w:tr>
        <w:trPr/>
        <w:tc>
          <w:tcPr>
            <w:tcW w:w="1294" w:type="dxa"/>
            <w:tcBorders/>
            <w:vAlign w:val="center"/>
          </w:tcPr>
          <w:p>
            <w:pPr>
              <w:pStyle w:val="TableContents"/>
              <w:bidi w:val="0"/>
              <w:spacing w:before="0" w:after="283"/>
              <w:jc w:val="start"/>
              <w:rPr/>
            </w:pPr>
            <w:r>
              <w:rPr/>
              <w:t xml:space="preserve">Dawn’s </w:t>
            </w:r>
          </w:p>
        </w:tc>
        <w:tc>
          <w:tcPr>
            <w:tcW w:w="726" w:type="dxa"/>
            <w:tcBorders/>
            <w:vAlign w:val="center"/>
          </w:tcPr>
          <w:p>
            <w:pPr>
              <w:pStyle w:val="TableContents"/>
              <w:bidi w:val="0"/>
              <w:spacing w:before="0" w:after="283"/>
              <w:jc w:val="start"/>
              <w:rPr/>
            </w:pPr>
            <w:r>
              <w:rPr/>
              <w:t xml:space="preserve">567 </w:t>
            </w:r>
          </w:p>
        </w:tc>
        <w:tc>
          <w:tcPr>
            <w:tcW w:w="712" w:type="dxa"/>
            <w:tcBorders/>
            <w:vAlign w:val="center"/>
          </w:tcPr>
          <w:p>
            <w:pPr>
              <w:pStyle w:val="TableContents"/>
              <w:bidi w:val="0"/>
              <w:spacing w:before="0" w:after="283"/>
              <w:jc w:val="start"/>
              <w:rPr/>
            </w:pPr>
            <w:r>
              <w:rPr/>
              <w:t xml:space="preserve">944 </w:t>
            </w:r>
          </w:p>
        </w:tc>
        <w:tc>
          <w:tcPr>
            <w:tcW w:w="712" w:type="dxa"/>
            <w:tcBorders/>
            <w:vAlign w:val="center"/>
          </w:tcPr>
          <w:p>
            <w:pPr>
              <w:pStyle w:val="TableContents"/>
              <w:bidi w:val="0"/>
              <w:spacing w:before="0" w:after="283"/>
              <w:jc w:val="start"/>
              <w:rPr/>
            </w:pPr>
            <w:r>
              <w:rPr/>
              <w:t xml:space="preserve">1057 </w:t>
            </w:r>
          </w:p>
        </w:tc>
        <w:tc>
          <w:tcPr>
            <w:tcW w:w="712" w:type="dxa"/>
            <w:tcBorders/>
            <w:vAlign w:val="center"/>
          </w:tcPr>
          <w:p>
            <w:pPr>
              <w:pStyle w:val="TableContents"/>
              <w:bidi w:val="0"/>
              <w:spacing w:before="0" w:after="283"/>
              <w:jc w:val="start"/>
              <w:rPr/>
            </w:pPr>
            <w:r>
              <w:rPr/>
              <w:t xml:space="preserve">1200 </w:t>
            </w:r>
          </w:p>
        </w:tc>
        <w:tc>
          <w:tcPr>
            <w:tcW w:w="786" w:type="dxa"/>
            <w:tcBorders/>
            <w:vAlign w:val="center"/>
          </w:tcPr>
          <w:p>
            <w:pPr>
              <w:pStyle w:val="TableContents"/>
              <w:bidi w:val="0"/>
              <w:spacing w:before="0" w:after="283"/>
              <w:jc w:val="start"/>
              <w:rPr/>
            </w:pPr>
            <w:r>
              <w:rPr/>
              <w:t xml:space="preserve">811 </w:t>
            </w:r>
          </w:p>
        </w:tc>
        <w:tc>
          <w:tcPr>
            <w:tcW w:w="735" w:type="dxa"/>
            <w:tcBorders/>
            <w:vAlign w:val="center"/>
          </w:tcPr>
          <w:p>
            <w:pPr>
              <w:pStyle w:val="TableContents"/>
              <w:bidi w:val="0"/>
              <w:spacing w:before="0" w:after="283"/>
              <w:jc w:val="start"/>
              <w:rPr/>
            </w:pPr>
            <w:r>
              <w:rPr/>
              <w:t xml:space="preserve">915. 8 </w:t>
            </w:r>
          </w:p>
        </w:tc>
      </w:tr>
      <w:tr>
        <w:trPr/>
        <w:tc>
          <w:tcPr>
            <w:tcW w:w="1294" w:type="dxa"/>
            <w:tcBorders/>
            <w:vAlign w:val="center"/>
          </w:tcPr>
          <w:p>
            <w:pPr>
              <w:pStyle w:val="TableContents"/>
              <w:bidi w:val="0"/>
              <w:spacing w:before="0" w:after="283"/>
              <w:jc w:val="start"/>
              <w:rPr/>
            </w:pPr>
            <w:r>
              <w:rPr/>
              <w:t xml:space="preserve">Johnson’s </w:t>
            </w:r>
          </w:p>
        </w:tc>
        <w:tc>
          <w:tcPr>
            <w:tcW w:w="726" w:type="dxa"/>
            <w:tcBorders/>
            <w:vAlign w:val="center"/>
          </w:tcPr>
          <w:p>
            <w:pPr>
              <w:pStyle w:val="TableContents"/>
              <w:bidi w:val="0"/>
              <w:spacing w:before="0" w:after="283"/>
              <w:jc w:val="start"/>
              <w:rPr/>
            </w:pPr>
            <w:r>
              <w:rPr/>
              <w:t xml:space="preserve">1135 </w:t>
            </w:r>
          </w:p>
        </w:tc>
        <w:tc>
          <w:tcPr>
            <w:tcW w:w="712" w:type="dxa"/>
            <w:tcBorders/>
            <w:vAlign w:val="center"/>
          </w:tcPr>
          <w:p>
            <w:pPr>
              <w:pStyle w:val="TableContents"/>
              <w:bidi w:val="0"/>
              <w:spacing w:before="0" w:after="283"/>
              <w:jc w:val="start"/>
              <w:rPr/>
            </w:pPr>
            <w:r>
              <w:rPr/>
              <w:t xml:space="preserve">770 </w:t>
            </w:r>
          </w:p>
        </w:tc>
        <w:tc>
          <w:tcPr>
            <w:tcW w:w="712" w:type="dxa"/>
            <w:tcBorders/>
            <w:vAlign w:val="center"/>
          </w:tcPr>
          <w:p>
            <w:pPr>
              <w:pStyle w:val="TableContents"/>
              <w:bidi w:val="0"/>
              <w:spacing w:before="0" w:after="283"/>
              <w:jc w:val="start"/>
              <w:rPr/>
            </w:pPr>
            <w:r>
              <w:rPr/>
              <w:t xml:space="preserve">813 </w:t>
            </w:r>
          </w:p>
        </w:tc>
        <w:tc>
          <w:tcPr>
            <w:tcW w:w="712" w:type="dxa"/>
            <w:tcBorders/>
            <w:vAlign w:val="center"/>
          </w:tcPr>
          <w:p>
            <w:pPr>
              <w:pStyle w:val="TableContents"/>
              <w:bidi w:val="0"/>
              <w:spacing w:before="0" w:after="283"/>
              <w:jc w:val="start"/>
              <w:rPr/>
            </w:pPr>
            <w:r>
              <w:rPr/>
              <w:t xml:space="preserve">675 </w:t>
            </w:r>
          </w:p>
        </w:tc>
        <w:tc>
          <w:tcPr>
            <w:tcW w:w="786" w:type="dxa"/>
            <w:tcBorders/>
            <w:vAlign w:val="center"/>
          </w:tcPr>
          <w:p>
            <w:pPr>
              <w:pStyle w:val="TableContents"/>
              <w:bidi w:val="0"/>
              <w:spacing w:before="0" w:after="283"/>
              <w:jc w:val="start"/>
              <w:rPr/>
            </w:pPr>
            <w:r>
              <w:rPr/>
              <w:t xml:space="preserve">175 </w:t>
            </w:r>
          </w:p>
        </w:tc>
        <w:tc>
          <w:tcPr>
            <w:tcW w:w="735" w:type="dxa"/>
            <w:tcBorders/>
            <w:vAlign w:val="center"/>
          </w:tcPr>
          <w:p>
            <w:pPr>
              <w:pStyle w:val="TableContents"/>
              <w:bidi w:val="0"/>
              <w:spacing w:before="0" w:after="283"/>
              <w:jc w:val="start"/>
              <w:rPr/>
            </w:pPr>
            <w:r>
              <w:rPr/>
              <w:t xml:space="preserve">714 </w:t>
            </w:r>
          </w:p>
        </w:tc>
      </w:tr>
      <w:tr>
        <w:trPr/>
        <w:tc>
          <w:tcPr>
            <w:tcW w:w="1294" w:type="dxa"/>
            <w:tcBorders/>
            <w:vAlign w:val="center"/>
          </w:tcPr>
          <w:p>
            <w:pPr>
              <w:pStyle w:val="TableContents"/>
              <w:bidi w:val="0"/>
              <w:spacing w:before="0" w:after="283"/>
              <w:jc w:val="start"/>
              <w:rPr/>
            </w:pPr>
            <w:r>
              <w:rPr/>
              <w:t xml:space="preserve">Hadlock’s </w:t>
            </w:r>
          </w:p>
        </w:tc>
        <w:tc>
          <w:tcPr>
            <w:tcW w:w="726" w:type="dxa"/>
            <w:tcBorders/>
            <w:vAlign w:val="center"/>
          </w:tcPr>
          <w:p>
            <w:pPr>
              <w:pStyle w:val="TableContents"/>
              <w:bidi w:val="0"/>
              <w:spacing w:before="0" w:after="283"/>
              <w:jc w:val="start"/>
              <w:rPr/>
            </w:pPr>
            <w:r>
              <w:rPr/>
              <w:t xml:space="preserve">702 </w:t>
            </w:r>
          </w:p>
        </w:tc>
        <w:tc>
          <w:tcPr>
            <w:tcW w:w="712" w:type="dxa"/>
            <w:tcBorders/>
            <w:vAlign w:val="center"/>
          </w:tcPr>
          <w:p>
            <w:pPr>
              <w:pStyle w:val="TableContents"/>
              <w:bidi w:val="0"/>
              <w:spacing w:before="0" w:after="283"/>
              <w:jc w:val="start"/>
              <w:rPr/>
            </w:pPr>
            <w:r>
              <w:rPr/>
              <w:t xml:space="preserve">774 </w:t>
            </w:r>
          </w:p>
        </w:tc>
        <w:tc>
          <w:tcPr>
            <w:tcW w:w="712" w:type="dxa"/>
            <w:tcBorders/>
            <w:vAlign w:val="center"/>
          </w:tcPr>
          <w:p>
            <w:pPr>
              <w:pStyle w:val="TableContents"/>
              <w:bidi w:val="0"/>
              <w:spacing w:before="0" w:after="283"/>
              <w:jc w:val="start"/>
              <w:rPr/>
            </w:pPr>
            <w:r>
              <w:rPr/>
              <w:t xml:space="preserve">653 </w:t>
            </w:r>
          </w:p>
        </w:tc>
        <w:tc>
          <w:tcPr>
            <w:tcW w:w="712" w:type="dxa"/>
            <w:tcBorders/>
            <w:vAlign w:val="center"/>
          </w:tcPr>
          <w:p>
            <w:pPr>
              <w:pStyle w:val="TableContents"/>
              <w:bidi w:val="0"/>
              <w:spacing w:before="0" w:after="283"/>
              <w:jc w:val="start"/>
              <w:rPr/>
            </w:pPr>
            <w:r>
              <w:rPr/>
              <w:t xml:space="preserve">634 </w:t>
            </w:r>
          </w:p>
        </w:tc>
        <w:tc>
          <w:tcPr>
            <w:tcW w:w="786" w:type="dxa"/>
            <w:tcBorders/>
            <w:vAlign w:val="center"/>
          </w:tcPr>
          <w:p>
            <w:pPr>
              <w:pStyle w:val="TableContents"/>
              <w:bidi w:val="0"/>
              <w:spacing w:before="0" w:after="283"/>
              <w:jc w:val="start"/>
              <w:rPr/>
            </w:pPr>
            <w:r>
              <w:rPr/>
              <w:t xml:space="preserve">474 </w:t>
            </w:r>
          </w:p>
        </w:tc>
        <w:tc>
          <w:tcPr>
            <w:tcW w:w="735" w:type="dxa"/>
            <w:tcBorders/>
            <w:vAlign w:val="center"/>
          </w:tcPr>
          <w:p>
            <w:pPr>
              <w:pStyle w:val="TableContents"/>
              <w:bidi w:val="0"/>
              <w:spacing w:before="0" w:after="283"/>
              <w:jc w:val="start"/>
              <w:rPr/>
            </w:pPr>
            <w:r>
              <w:rPr/>
              <w:t xml:space="preserve">647. 4 </w:t>
            </w:r>
          </w:p>
        </w:tc>
      </w:tr>
      <w:tr>
        <w:trPr/>
        <w:tc>
          <w:tcPr>
            <w:tcW w:w="1294" w:type="dxa"/>
            <w:tcBorders/>
            <w:vAlign w:val="center"/>
          </w:tcPr>
          <w:p>
            <w:pPr>
              <w:pStyle w:val="TableContents"/>
              <w:bidi w:val="0"/>
              <w:spacing w:before="0" w:after="283"/>
              <w:jc w:val="start"/>
              <w:rPr>
                <w:sz w:val="4"/>
                <w:szCs w:val="4"/>
              </w:rPr>
            </w:pPr>
            <w:r>
              <w:rPr>
                <w:sz w:val="4"/>
                <w:szCs w:val="4"/>
              </w:rPr>
            </w:r>
          </w:p>
        </w:tc>
        <w:tc>
          <w:tcPr>
            <w:tcW w:w="726" w:type="dxa"/>
            <w:tcBorders/>
            <w:vAlign w:val="center"/>
          </w:tcPr>
          <w:p>
            <w:pPr>
              <w:pStyle w:val="TableContents"/>
              <w:bidi w:val="0"/>
              <w:spacing w:before="0" w:after="283"/>
              <w:jc w:val="start"/>
              <w:rPr>
                <w:sz w:val="4"/>
                <w:szCs w:val="4"/>
              </w:rPr>
            </w:pPr>
            <w:r>
              <w:rPr>
                <w:sz w:val="4"/>
                <w:szCs w:val="4"/>
              </w:rPr>
            </w:r>
          </w:p>
        </w:tc>
        <w:tc>
          <w:tcPr>
            <w:tcW w:w="712" w:type="dxa"/>
            <w:tcBorders/>
            <w:vAlign w:val="center"/>
          </w:tcPr>
          <w:p>
            <w:pPr>
              <w:pStyle w:val="TableContents"/>
              <w:bidi w:val="0"/>
              <w:spacing w:before="0" w:after="283"/>
              <w:jc w:val="start"/>
              <w:rPr>
                <w:sz w:val="4"/>
                <w:szCs w:val="4"/>
              </w:rPr>
            </w:pPr>
            <w:r>
              <w:rPr>
                <w:sz w:val="4"/>
                <w:szCs w:val="4"/>
              </w:rPr>
            </w:r>
          </w:p>
        </w:tc>
        <w:tc>
          <w:tcPr>
            <w:tcW w:w="712" w:type="dxa"/>
            <w:tcBorders/>
            <w:vAlign w:val="center"/>
          </w:tcPr>
          <w:p>
            <w:pPr>
              <w:pStyle w:val="TableContents"/>
              <w:bidi w:val="0"/>
              <w:spacing w:before="0" w:after="283"/>
              <w:jc w:val="start"/>
              <w:rPr>
                <w:sz w:val="4"/>
                <w:szCs w:val="4"/>
              </w:rPr>
            </w:pPr>
            <w:r>
              <w:rPr>
                <w:sz w:val="4"/>
                <w:szCs w:val="4"/>
              </w:rPr>
            </w:r>
          </w:p>
        </w:tc>
        <w:tc>
          <w:tcPr>
            <w:tcW w:w="712" w:type="dxa"/>
            <w:tcBorders/>
            <w:vAlign w:val="center"/>
          </w:tcPr>
          <w:p>
            <w:pPr>
              <w:pStyle w:val="TableContents"/>
              <w:bidi w:val="0"/>
              <w:spacing w:before="0" w:after="283"/>
              <w:jc w:val="start"/>
              <w:rPr>
                <w:sz w:val="4"/>
                <w:szCs w:val="4"/>
              </w:rPr>
            </w:pPr>
            <w:r>
              <w:rPr>
                <w:sz w:val="4"/>
                <w:szCs w:val="4"/>
              </w:rPr>
            </w:r>
          </w:p>
        </w:tc>
        <w:tc>
          <w:tcPr>
            <w:tcW w:w="786" w:type="dxa"/>
            <w:tcBorders/>
            <w:vAlign w:val="center"/>
          </w:tcPr>
          <w:p>
            <w:pPr>
              <w:pStyle w:val="TableContents"/>
              <w:bidi w:val="0"/>
              <w:spacing w:before="0" w:after="283"/>
              <w:jc w:val="start"/>
              <w:rPr>
                <w:sz w:val="4"/>
                <w:szCs w:val="4"/>
              </w:rPr>
            </w:pPr>
            <w:r>
              <w:rPr>
                <w:sz w:val="4"/>
                <w:szCs w:val="4"/>
              </w:rPr>
            </w:r>
          </w:p>
        </w:tc>
        <w:tc>
          <w:tcPr>
            <w:tcW w:w="735"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3"/>
        </w:numPr>
        <w:tabs>
          <w:tab w:val="clear" w:pos="1134"/>
          <w:tab w:val="left" w:pos="709" w:leader="none"/>
        </w:tabs>
        <w:bidi w:val="0"/>
        <w:spacing w:before="0" w:after="0"/>
        <w:ind w:start="709" w:hanging="283"/>
        <w:jc w:val="start"/>
        <w:rPr/>
      </w:pPr>
      <w:r>
        <w:rPr/>
        <w:t xml:space="preserve">Most marked with Dawn’s and least with AG X SFH. </w:t>
      </w:r>
    </w:p>
    <w:p>
      <w:pPr>
        <w:pStyle w:val="TextBody"/>
        <w:numPr>
          <w:ilvl w:val="0"/>
          <w:numId w:val="3"/>
        </w:numPr>
        <w:tabs>
          <w:tab w:val="clear" w:pos="1134"/>
          <w:tab w:val="left" w:pos="709" w:leader="none"/>
        </w:tabs>
        <w:bidi w:val="0"/>
        <w:spacing w:before="0" w:after="0"/>
        <w:ind w:start="709" w:hanging="283"/>
        <w:jc w:val="start"/>
        <w:rPr/>
      </w:pPr>
      <w:r>
        <w:rPr/>
        <w:t xml:space="preserve">By both these methods maximum error was in the 3001- 3500 gms group. </w:t>
      </w:r>
    </w:p>
    <w:p>
      <w:pPr>
        <w:pStyle w:val="TextBody"/>
        <w:numPr>
          <w:ilvl w:val="0"/>
          <w:numId w:val="3"/>
        </w:numPr>
        <w:tabs>
          <w:tab w:val="clear" w:pos="1134"/>
          <w:tab w:val="left" w:pos="709" w:leader="none"/>
        </w:tabs>
        <w:bidi w:val="0"/>
        <w:ind w:start="709" w:hanging="283"/>
        <w:jc w:val="start"/>
        <w:rPr/>
      </w:pPr>
      <w:r>
        <w:rPr/>
        <w:t xml:space="preserve">By Johnson’s formula, maximum error was in the &lt; 2000 gms group, whereas with hadlock’s method it was maximum in the 2001- 2500 group. </w:t>
      </w:r>
    </w:p>
    <w:p>
      <w:pPr>
        <w:pStyle w:val="TextBody"/>
        <w:bidi w:val="0"/>
        <w:jc w:val="start"/>
        <w:rPr/>
      </w:pPr>
      <w:r>
        <w:rPr/>
        <w:t xml:space="preserve">TABLE V: PERCENTAGE ERROR IN VARIOUS METHODS </w:t>
      </w:r>
    </w:p>
    <w:tbl>
      <w:tblPr>
        <w:tblW w:w="5677" w:type="dxa"/>
        <w:jc w:val="start"/>
        <w:tblInd w:w="0" w:type="dxa"/>
        <w:tblLayout w:type="fixed"/>
        <w:tblCellMar>
          <w:top w:w="28" w:type="dxa"/>
          <w:start w:w="28" w:type="dxa"/>
          <w:bottom w:w="28" w:type="dxa"/>
          <w:end w:w="28" w:type="dxa"/>
        </w:tblCellMar>
      </w:tblPr>
      <w:tblGrid>
        <w:gridCol w:w="1517"/>
        <w:gridCol w:w="1012"/>
        <w:gridCol w:w="894"/>
        <w:gridCol w:w="1089"/>
        <w:gridCol w:w="1165"/>
      </w:tblGrid>
      <w:tr>
        <w:trPr/>
        <w:tc>
          <w:tcPr>
            <w:tcW w:w="1517" w:type="dxa"/>
            <w:tcBorders/>
            <w:vAlign w:val="center"/>
          </w:tcPr>
          <w:p>
            <w:pPr>
              <w:pStyle w:val="TableContents"/>
              <w:bidi w:val="0"/>
              <w:spacing w:before="0" w:after="283"/>
              <w:jc w:val="start"/>
              <w:rPr/>
            </w:pPr>
            <w:r>
              <w:rPr/>
              <w:t xml:space="preserve">Percentage error </w:t>
            </w:r>
          </w:p>
        </w:tc>
        <w:tc>
          <w:tcPr>
            <w:tcW w:w="1012" w:type="dxa"/>
            <w:tcBorders/>
            <w:vAlign w:val="center"/>
          </w:tcPr>
          <w:p>
            <w:pPr>
              <w:pStyle w:val="TableContents"/>
              <w:bidi w:val="0"/>
              <w:spacing w:before="0" w:after="283"/>
              <w:jc w:val="start"/>
              <w:rPr/>
            </w:pPr>
            <w:r>
              <w:rPr/>
              <w:t xml:space="preserve">AG X SFH </w:t>
            </w:r>
          </w:p>
        </w:tc>
        <w:tc>
          <w:tcPr>
            <w:tcW w:w="894" w:type="dxa"/>
            <w:tcBorders/>
            <w:vAlign w:val="center"/>
          </w:tcPr>
          <w:p>
            <w:pPr>
              <w:pStyle w:val="TableContents"/>
              <w:bidi w:val="0"/>
              <w:spacing w:before="0" w:after="283"/>
              <w:jc w:val="start"/>
              <w:rPr/>
            </w:pPr>
            <w:r>
              <w:rPr/>
              <w:t xml:space="preserve">Dawn’s </w:t>
            </w:r>
          </w:p>
        </w:tc>
        <w:tc>
          <w:tcPr>
            <w:tcW w:w="1089" w:type="dxa"/>
            <w:tcBorders/>
            <w:vAlign w:val="center"/>
          </w:tcPr>
          <w:p>
            <w:pPr>
              <w:pStyle w:val="TableContents"/>
              <w:bidi w:val="0"/>
              <w:spacing w:before="0" w:after="283"/>
              <w:jc w:val="start"/>
              <w:rPr/>
            </w:pPr>
            <w:r>
              <w:rPr/>
              <w:t xml:space="preserve">Johnson’s </w:t>
            </w:r>
          </w:p>
        </w:tc>
        <w:tc>
          <w:tcPr>
            <w:tcW w:w="1165" w:type="dxa"/>
            <w:tcBorders/>
            <w:vAlign w:val="center"/>
          </w:tcPr>
          <w:p>
            <w:pPr>
              <w:pStyle w:val="TableContents"/>
              <w:bidi w:val="0"/>
              <w:spacing w:before="0" w:after="283"/>
              <w:jc w:val="start"/>
              <w:rPr/>
            </w:pPr>
            <w:r>
              <w:rPr/>
              <w:t xml:space="preserve">Hadlock’s </w:t>
            </w:r>
          </w:p>
        </w:tc>
      </w:tr>
      <w:tr>
        <w:trPr/>
        <w:tc>
          <w:tcPr>
            <w:tcW w:w="1517" w:type="dxa"/>
            <w:tcBorders/>
            <w:vAlign w:val="center"/>
          </w:tcPr>
          <w:p>
            <w:pPr>
              <w:pStyle w:val="TableContents"/>
              <w:bidi w:val="0"/>
              <w:spacing w:before="0" w:after="283"/>
              <w:jc w:val="start"/>
              <w:rPr/>
            </w:pPr>
            <w:r>
              <w:rPr/>
              <w:t xml:space="preserve">UPTO 5% </w:t>
            </w:r>
          </w:p>
        </w:tc>
        <w:tc>
          <w:tcPr>
            <w:tcW w:w="1012" w:type="dxa"/>
            <w:tcBorders/>
            <w:vAlign w:val="center"/>
          </w:tcPr>
          <w:p>
            <w:pPr>
              <w:pStyle w:val="TableContents"/>
              <w:bidi w:val="0"/>
              <w:spacing w:before="0" w:after="283"/>
              <w:jc w:val="start"/>
              <w:rPr/>
            </w:pPr>
            <w:r>
              <w:rPr/>
              <w:t xml:space="preserve">33. 5% </w:t>
            </w:r>
          </w:p>
        </w:tc>
        <w:tc>
          <w:tcPr>
            <w:tcW w:w="894" w:type="dxa"/>
            <w:tcBorders/>
            <w:vAlign w:val="center"/>
          </w:tcPr>
          <w:p>
            <w:pPr>
              <w:pStyle w:val="TableContents"/>
              <w:bidi w:val="0"/>
              <w:spacing w:before="0" w:after="283"/>
              <w:jc w:val="start"/>
              <w:rPr/>
            </w:pPr>
            <w:r>
              <w:rPr/>
              <w:t xml:space="preserve">15 </w:t>
            </w:r>
          </w:p>
        </w:tc>
        <w:tc>
          <w:tcPr>
            <w:tcW w:w="1089" w:type="dxa"/>
            <w:tcBorders/>
            <w:vAlign w:val="center"/>
          </w:tcPr>
          <w:p>
            <w:pPr>
              <w:pStyle w:val="TableContents"/>
              <w:bidi w:val="0"/>
              <w:spacing w:before="0" w:after="283"/>
              <w:jc w:val="start"/>
              <w:rPr/>
            </w:pPr>
            <w:r>
              <w:rPr/>
              <w:t xml:space="preserve">17 </w:t>
            </w:r>
          </w:p>
        </w:tc>
        <w:tc>
          <w:tcPr>
            <w:tcW w:w="1165" w:type="dxa"/>
            <w:tcBorders/>
            <w:vAlign w:val="center"/>
          </w:tcPr>
          <w:p>
            <w:pPr>
              <w:pStyle w:val="TableContents"/>
              <w:bidi w:val="0"/>
              <w:spacing w:before="0" w:after="283"/>
              <w:jc w:val="start"/>
              <w:rPr/>
            </w:pPr>
            <w:r>
              <w:rPr/>
              <w:t xml:space="preserve">27. 5 </w:t>
            </w:r>
          </w:p>
        </w:tc>
      </w:tr>
      <w:tr>
        <w:trPr/>
        <w:tc>
          <w:tcPr>
            <w:tcW w:w="1517" w:type="dxa"/>
            <w:tcBorders/>
            <w:vAlign w:val="center"/>
          </w:tcPr>
          <w:p>
            <w:pPr>
              <w:pStyle w:val="TableContents"/>
              <w:bidi w:val="0"/>
              <w:spacing w:before="0" w:after="283"/>
              <w:jc w:val="start"/>
              <w:rPr/>
            </w:pPr>
            <w:r>
              <w:rPr/>
              <w:t xml:space="preserve">UPTO 10% </w:t>
            </w:r>
          </w:p>
        </w:tc>
        <w:tc>
          <w:tcPr>
            <w:tcW w:w="1012" w:type="dxa"/>
            <w:tcBorders/>
            <w:vAlign w:val="center"/>
          </w:tcPr>
          <w:p>
            <w:pPr>
              <w:pStyle w:val="TableContents"/>
              <w:bidi w:val="0"/>
              <w:spacing w:before="0" w:after="283"/>
              <w:jc w:val="start"/>
              <w:rPr/>
            </w:pPr>
            <w:r>
              <w:rPr/>
              <w:t xml:space="preserve">67 </w:t>
            </w:r>
          </w:p>
        </w:tc>
        <w:tc>
          <w:tcPr>
            <w:tcW w:w="894" w:type="dxa"/>
            <w:tcBorders/>
            <w:vAlign w:val="center"/>
          </w:tcPr>
          <w:p>
            <w:pPr>
              <w:pStyle w:val="TableContents"/>
              <w:bidi w:val="0"/>
              <w:spacing w:before="0" w:after="283"/>
              <w:jc w:val="start"/>
              <w:rPr/>
            </w:pPr>
            <w:r>
              <w:rPr/>
              <w:t xml:space="preserve">32. 5 </w:t>
            </w:r>
          </w:p>
        </w:tc>
        <w:tc>
          <w:tcPr>
            <w:tcW w:w="1089" w:type="dxa"/>
            <w:tcBorders/>
            <w:vAlign w:val="center"/>
          </w:tcPr>
          <w:p>
            <w:pPr>
              <w:pStyle w:val="TableContents"/>
              <w:bidi w:val="0"/>
              <w:spacing w:before="0" w:after="283"/>
              <w:jc w:val="start"/>
              <w:rPr/>
            </w:pPr>
            <w:r>
              <w:rPr/>
              <w:t xml:space="preserve">41 </w:t>
            </w:r>
          </w:p>
        </w:tc>
        <w:tc>
          <w:tcPr>
            <w:tcW w:w="1165" w:type="dxa"/>
            <w:tcBorders/>
            <w:vAlign w:val="center"/>
          </w:tcPr>
          <w:p>
            <w:pPr>
              <w:pStyle w:val="TableContents"/>
              <w:bidi w:val="0"/>
              <w:spacing w:before="0" w:after="283"/>
              <w:jc w:val="start"/>
              <w:rPr/>
            </w:pPr>
            <w:r>
              <w:rPr/>
              <w:t xml:space="preserve">62 </w:t>
            </w:r>
          </w:p>
        </w:tc>
      </w:tr>
      <w:tr>
        <w:trPr/>
        <w:tc>
          <w:tcPr>
            <w:tcW w:w="1517" w:type="dxa"/>
            <w:tcBorders/>
            <w:vAlign w:val="center"/>
          </w:tcPr>
          <w:p>
            <w:pPr>
              <w:pStyle w:val="TableContents"/>
              <w:bidi w:val="0"/>
              <w:spacing w:before="0" w:after="283"/>
              <w:jc w:val="start"/>
              <w:rPr/>
            </w:pPr>
            <w:r>
              <w:rPr/>
              <w:t xml:space="preserve">UPTO 15% </w:t>
            </w:r>
          </w:p>
        </w:tc>
        <w:tc>
          <w:tcPr>
            <w:tcW w:w="1012" w:type="dxa"/>
            <w:tcBorders/>
            <w:vAlign w:val="center"/>
          </w:tcPr>
          <w:p>
            <w:pPr>
              <w:pStyle w:val="TableContents"/>
              <w:bidi w:val="0"/>
              <w:spacing w:before="0" w:after="283"/>
              <w:jc w:val="start"/>
              <w:rPr/>
            </w:pPr>
            <w:r>
              <w:rPr/>
              <w:t xml:space="preserve">85. 5 </w:t>
            </w:r>
          </w:p>
        </w:tc>
        <w:tc>
          <w:tcPr>
            <w:tcW w:w="894" w:type="dxa"/>
            <w:tcBorders/>
            <w:vAlign w:val="center"/>
          </w:tcPr>
          <w:p>
            <w:pPr>
              <w:pStyle w:val="TableContents"/>
              <w:bidi w:val="0"/>
              <w:spacing w:before="0" w:after="283"/>
              <w:jc w:val="start"/>
              <w:rPr/>
            </w:pPr>
            <w:r>
              <w:rPr/>
              <w:t xml:space="preserve">50 </w:t>
            </w:r>
          </w:p>
        </w:tc>
        <w:tc>
          <w:tcPr>
            <w:tcW w:w="1089" w:type="dxa"/>
            <w:tcBorders/>
            <w:vAlign w:val="center"/>
          </w:tcPr>
          <w:p>
            <w:pPr>
              <w:pStyle w:val="TableContents"/>
              <w:bidi w:val="0"/>
              <w:spacing w:before="0" w:after="283"/>
              <w:jc w:val="start"/>
              <w:rPr/>
            </w:pPr>
            <w:r>
              <w:rPr/>
              <w:t xml:space="preserve">63. 5 </w:t>
            </w:r>
          </w:p>
        </w:tc>
        <w:tc>
          <w:tcPr>
            <w:tcW w:w="1165" w:type="dxa"/>
            <w:tcBorders/>
            <w:vAlign w:val="center"/>
          </w:tcPr>
          <w:p>
            <w:pPr>
              <w:pStyle w:val="TableContents"/>
              <w:bidi w:val="0"/>
              <w:spacing w:before="0" w:after="283"/>
              <w:jc w:val="start"/>
              <w:rPr/>
            </w:pPr>
            <w:r>
              <w:rPr/>
              <w:t xml:space="preserve">85. 5 </w:t>
            </w:r>
          </w:p>
        </w:tc>
      </w:tr>
      <w:tr>
        <w:trPr/>
        <w:tc>
          <w:tcPr>
            <w:tcW w:w="1517" w:type="dxa"/>
            <w:tcBorders/>
            <w:vAlign w:val="center"/>
          </w:tcPr>
          <w:p>
            <w:pPr>
              <w:pStyle w:val="TableContents"/>
              <w:bidi w:val="0"/>
              <w:spacing w:before="0" w:after="283"/>
              <w:jc w:val="start"/>
              <w:rPr/>
            </w:pPr>
            <w:r>
              <w:rPr/>
              <w:t xml:space="preserve">UPTO 20% </w:t>
            </w:r>
          </w:p>
        </w:tc>
        <w:tc>
          <w:tcPr>
            <w:tcW w:w="1012" w:type="dxa"/>
            <w:tcBorders/>
            <w:vAlign w:val="center"/>
          </w:tcPr>
          <w:p>
            <w:pPr>
              <w:pStyle w:val="TableContents"/>
              <w:bidi w:val="0"/>
              <w:spacing w:before="0" w:after="283"/>
              <w:jc w:val="start"/>
              <w:rPr/>
            </w:pPr>
            <w:r>
              <w:rPr/>
              <w:t xml:space="preserve">94 </w:t>
            </w:r>
          </w:p>
        </w:tc>
        <w:tc>
          <w:tcPr>
            <w:tcW w:w="894" w:type="dxa"/>
            <w:tcBorders/>
            <w:vAlign w:val="center"/>
          </w:tcPr>
          <w:p>
            <w:pPr>
              <w:pStyle w:val="TableContents"/>
              <w:bidi w:val="0"/>
              <w:spacing w:before="0" w:after="283"/>
              <w:jc w:val="start"/>
              <w:rPr/>
            </w:pPr>
            <w:r>
              <w:rPr/>
              <w:t xml:space="preserve">78 </w:t>
            </w:r>
          </w:p>
        </w:tc>
        <w:tc>
          <w:tcPr>
            <w:tcW w:w="1089" w:type="dxa"/>
            <w:tcBorders/>
            <w:vAlign w:val="center"/>
          </w:tcPr>
          <w:p>
            <w:pPr>
              <w:pStyle w:val="TableContents"/>
              <w:bidi w:val="0"/>
              <w:spacing w:before="0" w:after="283"/>
              <w:jc w:val="start"/>
              <w:rPr/>
            </w:pPr>
            <w:r>
              <w:rPr/>
              <w:t xml:space="preserve">79. 5 </w:t>
            </w:r>
          </w:p>
        </w:tc>
        <w:tc>
          <w:tcPr>
            <w:tcW w:w="1165" w:type="dxa"/>
            <w:tcBorders/>
            <w:vAlign w:val="center"/>
          </w:tcPr>
          <w:p>
            <w:pPr>
              <w:pStyle w:val="TableContents"/>
              <w:bidi w:val="0"/>
              <w:spacing w:before="0" w:after="283"/>
              <w:jc w:val="start"/>
              <w:rPr/>
            </w:pPr>
            <w:r>
              <w:rPr/>
              <w:t xml:space="preserve">92. 5 </w:t>
            </w:r>
          </w:p>
        </w:tc>
      </w:tr>
      <w:tr>
        <w:trPr/>
        <w:tc>
          <w:tcPr>
            <w:tcW w:w="1517" w:type="dxa"/>
            <w:tcBorders/>
            <w:vAlign w:val="center"/>
          </w:tcPr>
          <w:p>
            <w:pPr>
              <w:pStyle w:val="TableContents"/>
              <w:bidi w:val="0"/>
              <w:spacing w:before="0" w:after="283"/>
              <w:jc w:val="start"/>
              <w:rPr/>
            </w:pPr>
            <w:r>
              <w:rPr/>
              <w:t xml:space="preserve">UPTO 25% </w:t>
            </w:r>
          </w:p>
        </w:tc>
        <w:tc>
          <w:tcPr>
            <w:tcW w:w="1012" w:type="dxa"/>
            <w:tcBorders/>
            <w:vAlign w:val="center"/>
          </w:tcPr>
          <w:p>
            <w:pPr>
              <w:pStyle w:val="TableContents"/>
              <w:bidi w:val="0"/>
              <w:spacing w:before="0" w:after="283"/>
              <w:jc w:val="start"/>
              <w:rPr/>
            </w:pPr>
            <w:r>
              <w:rPr/>
              <w:t xml:space="preserve">96. 5 </w:t>
            </w:r>
          </w:p>
        </w:tc>
        <w:tc>
          <w:tcPr>
            <w:tcW w:w="894" w:type="dxa"/>
            <w:tcBorders/>
            <w:vAlign w:val="center"/>
          </w:tcPr>
          <w:p>
            <w:pPr>
              <w:pStyle w:val="TableContents"/>
              <w:bidi w:val="0"/>
              <w:spacing w:before="0" w:after="283"/>
              <w:jc w:val="start"/>
              <w:rPr/>
            </w:pPr>
            <w:r>
              <w:rPr/>
              <w:t xml:space="preserve">89 </w:t>
            </w:r>
          </w:p>
        </w:tc>
        <w:tc>
          <w:tcPr>
            <w:tcW w:w="1089" w:type="dxa"/>
            <w:tcBorders/>
            <w:vAlign w:val="center"/>
          </w:tcPr>
          <w:p>
            <w:pPr>
              <w:pStyle w:val="TableContents"/>
              <w:bidi w:val="0"/>
              <w:spacing w:before="0" w:after="283"/>
              <w:jc w:val="start"/>
              <w:rPr/>
            </w:pPr>
            <w:r>
              <w:rPr/>
              <w:t xml:space="preserve">89. 5 </w:t>
            </w:r>
          </w:p>
        </w:tc>
        <w:tc>
          <w:tcPr>
            <w:tcW w:w="1165" w:type="dxa"/>
            <w:tcBorders/>
            <w:vAlign w:val="center"/>
          </w:tcPr>
          <w:p>
            <w:pPr>
              <w:pStyle w:val="TableContents"/>
              <w:bidi w:val="0"/>
              <w:spacing w:before="0" w:after="283"/>
              <w:jc w:val="start"/>
              <w:rPr/>
            </w:pPr>
            <w:r>
              <w:rPr/>
              <w:t xml:space="preserve">96. 5 </w:t>
            </w:r>
          </w:p>
        </w:tc>
      </w:tr>
    </w:tbl>
    <w:p>
      <w:pPr>
        <w:pStyle w:val="TextBody"/>
        <w:numPr>
          <w:ilvl w:val="0"/>
          <w:numId w:val="4"/>
        </w:numPr>
        <w:tabs>
          <w:tab w:val="clear" w:pos="1134"/>
          <w:tab w:val="left" w:pos="709" w:leader="none"/>
        </w:tabs>
        <w:bidi w:val="0"/>
        <w:ind w:start="709" w:hanging="283"/>
        <w:jc w:val="start"/>
        <w:rPr/>
      </w:pPr>
      <w:r>
        <w:rPr/>
        <w:t xml:space="preserve">Percentage error was calculated using: </w:t>
      </w:r>
    </w:p>
    <w:p>
      <w:pPr>
        <w:pStyle w:val="TextBody"/>
        <w:bidi w:val="0"/>
        <w:jc w:val="start"/>
        <w:rPr/>
      </w:pPr>
      <w:r>
        <w:rPr/>
        <w:t xml:space="preserve">x/y x 100 </w:t>
      </w:r>
    </w:p>
    <w:p>
      <w:pPr>
        <w:pStyle w:val="TextBody"/>
        <w:bidi w:val="0"/>
        <w:spacing w:before="0" w:after="283"/>
        <w:jc w:val="start"/>
        <w:rPr/>
      </w:pPr>
      <w:r>
        <w:rPr/>
        <w:t xml:space="preserve">x= error in grams </w:t>
      </w:r>
    </w:p>
    <w:p>
      <w:pPr>
        <w:pStyle w:val="TextBody"/>
        <w:bidi w:val="0"/>
        <w:spacing w:before="0" w:after="283"/>
        <w:jc w:val="start"/>
        <w:rPr/>
      </w:pPr>
      <w:r>
        <w:rPr/>
        <w:t xml:space="preserve">y= birth weight in grams </w:t>
      </w:r>
    </w:p>
    <w:p>
      <w:pPr>
        <w:pStyle w:val="TextBody"/>
        <w:numPr>
          <w:ilvl w:val="0"/>
          <w:numId w:val="5"/>
        </w:numPr>
        <w:tabs>
          <w:tab w:val="clear" w:pos="1134"/>
          <w:tab w:val="left" w:pos="709" w:leader="none"/>
        </w:tabs>
        <w:bidi w:val="0"/>
        <w:spacing w:before="0" w:after="0"/>
        <w:ind w:start="709" w:hanging="283"/>
        <w:jc w:val="start"/>
        <w:rPr/>
      </w:pPr>
      <w:r>
        <w:rPr/>
        <w:t xml:space="preserve">As seen in the table, 85. 5% cases came within 15% of actual birth weight by both Hadlock’s and AG X SFH methods. </w:t>
      </w:r>
    </w:p>
    <w:p>
      <w:pPr>
        <w:pStyle w:val="TextBody"/>
        <w:numPr>
          <w:ilvl w:val="0"/>
          <w:numId w:val="5"/>
        </w:numPr>
        <w:tabs>
          <w:tab w:val="clear" w:pos="1134"/>
          <w:tab w:val="left" w:pos="709" w:leader="none"/>
        </w:tabs>
        <w:bidi w:val="0"/>
        <w:ind w:start="709" w:hanging="283"/>
        <w:jc w:val="start"/>
        <w:rPr/>
      </w:pPr>
      <w:r>
        <w:rPr/>
        <w:t xml:space="preserve">As compared to only 50% and 63. 5% by Dawn’s and Johnson’s formula, respectively. </w:t>
      </w:r>
    </w:p>
    <w:p>
      <w:pPr>
        <w:pStyle w:val="TextBody"/>
        <w:bidi w:val="0"/>
        <w:jc w:val="start"/>
        <w:rPr/>
      </w:pPr>
      <w:r>
        <w:rPr/>
        <w:t xml:space="preserve">TABLE VI: STANDARD DEVIATION OF PREDICTION ERROR </w:t>
      </w:r>
    </w:p>
    <w:tbl>
      <w:tblPr>
        <w:tblW w:w="4262" w:type="dxa"/>
        <w:jc w:val="start"/>
        <w:tblInd w:w="0" w:type="dxa"/>
        <w:tblLayout w:type="fixed"/>
        <w:tblCellMar>
          <w:top w:w="28" w:type="dxa"/>
          <w:start w:w="28" w:type="dxa"/>
          <w:bottom w:w="28" w:type="dxa"/>
          <w:end w:w="28" w:type="dxa"/>
        </w:tblCellMar>
      </w:tblPr>
      <w:tblGrid>
        <w:gridCol w:w="1291"/>
        <w:gridCol w:w="2971"/>
      </w:tblGrid>
      <w:tr>
        <w:trPr/>
        <w:tc>
          <w:tcPr>
            <w:tcW w:w="1291" w:type="dxa"/>
            <w:tcBorders/>
            <w:vAlign w:val="center"/>
          </w:tcPr>
          <w:p>
            <w:pPr>
              <w:pStyle w:val="TableContents"/>
              <w:bidi w:val="0"/>
              <w:spacing w:before="0" w:after="283"/>
              <w:jc w:val="start"/>
              <w:rPr/>
            </w:pPr>
            <w:r>
              <w:rPr/>
              <w:t xml:space="preserve">METHOD </w:t>
            </w:r>
          </w:p>
        </w:tc>
        <w:tc>
          <w:tcPr>
            <w:tcW w:w="2971" w:type="dxa"/>
            <w:tcBorders/>
            <w:vAlign w:val="center"/>
          </w:tcPr>
          <w:p>
            <w:pPr>
              <w:pStyle w:val="TableContents"/>
              <w:bidi w:val="0"/>
              <w:spacing w:before="0" w:after="283"/>
              <w:jc w:val="start"/>
              <w:rPr/>
            </w:pPr>
            <w:r>
              <w:rPr/>
              <w:t xml:space="preserve">STANDARD DEVIATION </w:t>
            </w:r>
          </w:p>
        </w:tc>
      </w:tr>
      <w:tr>
        <w:trPr/>
        <w:tc>
          <w:tcPr>
            <w:tcW w:w="1291" w:type="dxa"/>
            <w:tcBorders/>
            <w:vAlign w:val="center"/>
          </w:tcPr>
          <w:p>
            <w:pPr>
              <w:pStyle w:val="TableContents"/>
              <w:bidi w:val="0"/>
              <w:spacing w:before="0" w:after="283"/>
              <w:jc w:val="start"/>
              <w:rPr/>
            </w:pPr>
            <w:r>
              <w:rPr/>
              <w:t xml:space="preserve">AG X SFH </w:t>
            </w:r>
          </w:p>
        </w:tc>
        <w:tc>
          <w:tcPr>
            <w:tcW w:w="2971" w:type="dxa"/>
            <w:tcBorders/>
            <w:vAlign w:val="center"/>
          </w:tcPr>
          <w:p>
            <w:pPr>
              <w:pStyle w:val="TableContents"/>
              <w:bidi w:val="0"/>
              <w:spacing w:before="0" w:after="283"/>
              <w:jc w:val="start"/>
              <w:rPr/>
            </w:pPr>
            <w:r>
              <w:rPr/>
              <w:t xml:space="preserve">272. 66 </w:t>
            </w:r>
          </w:p>
        </w:tc>
      </w:tr>
      <w:tr>
        <w:trPr/>
        <w:tc>
          <w:tcPr>
            <w:tcW w:w="1291" w:type="dxa"/>
            <w:tcBorders/>
            <w:vAlign w:val="center"/>
          </w:tcPr>
          <w:p>
            <w:pPr>
              <w:pStyle w:val="TableContents"/>
              <w:bidi w:val="0"/>
              <w:spacing w:before="0" w:after="283"/>
              <w:jc w:val="start"/>
              <w:rPr/>
            </w:pPr>
            <w:r>
              <w:rPr/>
              <w:t xml:space="preserve">Dawn’s </w:t>
            </w:r>
          </w:p>
        </w:tc>
        <w:tc>
          <w:tcPr>
            <w:tcW w:w="2971" w:type="dxa"/>
            <w:tcBorders/>
            <w:vAlign w:val="center"/>
          </w:tcPr>
          <w:p>
            <w:pPr>
              <w:pStyle w:val="TableContents"/>
              <w:bidi w:val="0"/>
              <w:spacing w:before="0" w:after="283"/>
              <w:jc w:val="start"/>
              <w:rPr/>
            </w:pPr>
            <w:r>
              <w:rPr/>
              <w:t xml:space="preserve">441. 56 </w:t>
            </w:r>
          </w:p>
        </w:tc>
      </w:tr>
      <w:tr>
        <w:trPr/>
        <w:tc>
          <w:tcPr>
            <w:tcW w:w="1291" w:type="dxa"/>
            <w:tcBorders/>
            <w:vAlign w:val="center"/>
          </w:tcPr>
          <w:p>
            <w:pPr>
              <w:pStyle w:val="TableContents"/>
              <w:bidi w:val="0"/>
              <w:spacing w:before="0" w:after="283"/>
              <w:jc w:val="start"/>
              <w:rPr/>
            </w:pPr>
            <w:r>
              <w:rPr/>
              <w:t xml:space="preserve">Johnson’s </w:t>
            </w:r>
          </w:p>
        </w:tc>
        <w:tc>
          <w:tcPr>
            <w:tcW w:w="2971" w:type="dxa"/>
            <w:tcBorders/>
            <w:vAlign w:val="center"/>
          </w:tcPr>
          <w:p>
            <w:pPr>
              <w:pStyle w:val="TableContents"/>
              <w:bidi w:val="0"/>
              <w:spacing w:before="0" w:after="283"/>
              <w:jc w:val="start"/>
              <w:rPr/>
            </w:pPr>
            <w:r>
              <w:rPr/>
              <w:t xml:space="preserve">309. 98 </w:t>
            </w:r>
          </w:p>
        </w:tc>
      </w:tr>
      <w:tr>
        <w:trPr/>
        <w:tc>
          <w:tcPr>
            <w:tcW w:w="1291" w:type="dxa"/>
            <w:tcBorders/>
            <w:vAlign w:val="center"/>
          </w:tcPr>
          <w:p>
            <w:pPr>
              <w:pStyle w:val="TableContents"/>
              <w:bidi w:val="0"/>
              <w:spacing w:before="0" w:after="283"/>
              <w:jc w:val="start"/>
              <w:rPr/>
            </w:pPr>
            <w:r>
              <w:rPr/>
              <w:t xml:space="preserve">Hadlock’s </w:t>
            </w:r>
          </w:p>
        </w:tc>
        <w:tc>
          <w:tcPr>
            <w:tcW w:w="2971" w:type="dxa"/>
            <w:tcBorders/>
            <w:vAlign w:val="center"/>
          </w:tcPr>
          <w:p>
            <w:pPr>
              <w:pStyle w:val="TableContents"/>
              <w:bidi w:val="0"/>
              <w:spacing w:before="0" w:after="283"/>
              <w:jc w:val="start"/>
              <w:rPr/>
            </w:pPr>
            <w:r>
              <w:rPr/>
              <w:t xml:space="preserve">258. 48 </w:t>
            </w:r>
          </w:p>
        </w:tc>
      </w:tr>
    </w:tbl>
    <w:p>
      <w:pPr>
        <w:pStyle w:val="TextBody"/>
        <w:bidi w:val="0"/>
        <w:spacing w:before="0" w:after="283"/>
        <w:jc w:val="start"/>
        <w:rPr/>
      </w:pPr>
      <w:r>
        <w:rPr/>
        <w:t xml:space="preserve">The standard deviation of prediction error was least with Hadlock’s formula, closely followed by AG X SFH. </w:t>
      </w:r>
    </w:p>
    <w:p>
      <w:pPr>
        <w:pStyle w:val="TextBody"/>
        <w:bidi w:val="0"/>
        <w:spacing w:before="0" w:after="283"/>
        <w:jc w:val="start"/>
        <w:rPr/>
      </w:pPr>
      <w:r>
        <w:rPr/>
        <w:t xml:space="preserve">It is much higher with Dawn’s and Johnson’s formulae. </w:t>
      </w:r>
    </w:p>
    <w:p>
      <w:pPr>
        <w:pStyle w:val="TextBody"/>
        <w:bidi w:val="0"/>
        <w:spacing w:before="0" w:after="283"/>
        <w:jc w:val="start"/>
        <w:rPr/>
      </w:pPr>
      <w:r>
        <w:rPr/>
        <w:t xml:space="preserve">The variance between the four methods was statistically different. p value &lt; 0. 05. </w:t>
      </w:r>
    </w:p>
    <w:p>
      <w:pPr>
        <w:pStyle w:val="TextBody"/>
        <w:bidi w:val="0"/>
        <w:spacing w:before="0" w:after="283"/>
        <w:jc w:val="start"/>
        <w:rPr/>
      </w:pPr>
      <w:r>
        <w:rPr/>
        <w:t xml:space="preserve">DISCUSSION </w:t>
      </w:r>
    </w:p>
    <w:p>
      <w:pPr>
        <w:pStyle w:val="TextBody"/>
        <w:numPr>
          <w:ilvl w:val="0"/>
          <w:numId w:val="6"/>
        </w:numPr>
        <w:tabs>
          <w:tab w:val="clear" w:pos="1134"/>
          <w:tab w:val="left" w:pos="709" w:leader="none"/>
        </w:tabs>
        <w:bidi w:val="0"/>
        <w:spacing w:before="0" w:after="0"/>
        <w:ind w:start="709" w:hanging="283"/>
        <w:jc w:val="start"/>
        <w:rPr/>
      </w:pPr>
      <w:r>
        <w:rPr/>
        <w:t xml:space="preserve">Birth weight is a key variable affecting fetal and neonatal morbidity, particu- larly in preterm and small-for-dates babies. In addition, it is of value in the management of breech presentations, diabetes mellitus, trial of labour, macrosomic fetuses and multiple births. </w:t>
      </w:r>
    </w:p>
    <w:p>
      <w:pPr>
        <w:pStyle w:val="TextBody"/>
        <w:numPr>
          <w:ilvl w:val="0"/>
          <w:numId w:val="6"/>
        </w:numPr>
        <w:tabs>
          <w:tab w:val="clear" w:pos="1134"/>
          <w:tab w:val="left" w:pos="709" w:leader="none"/>
        </w:tabs>
        <w:bidi w:val="0"/>
        <w:spacing w:before="0" w:after="0"/>
        <w:ind w:start="709" w:hanging="283"/>
        <w:jc w:val="start"/>
        <w:rPr/>
      </w:pPr>
      <w:r>
        <w:rPr/>
        <w:t xml:space="preserve">Clinicians’ estimates of birth weight in term pregnancy were as accurate as routine ultrasound estimation in the week before delivery. Furthermore, parous women’s estimates of birth weight were more accurate than either clinical or ultrasound estimation. </w:t>
      </w:r>
    </w:p>
    <w:p>
      <w:pPr>
        <w:pStyle w:val="TextBody"/>
        <w:numPr>
          <w:ilvl w:val="0"/>
          <w:numId w:val="6"/>
        </w:numPr>
        <w:tabs>
          <w:tab w:val="clear" w:pos="1134"/>
          <w:tab w:val="left" w:pos="709" w:leader="none"/>
        </w:tabs>
        <w:bidi w:val="0"/>
        <w:spacing w:before="0" w:after="0"/>
        <w:ind w:start="709" w:hanging="283"/>
        <w:jc w:val="start"/>
        <w:rPr/>
      </w:pPr>
      <w:r>
        <w:rPr/>
        <w:t xml:space="preserve">There have been differing results about the accuracy of the various methods of estimating fetal weight. </w:t>
      </w:r>
    </w:p>
    <w:p>
      <w:pPr>
        <w:pStyle w:val="TextBody"/>
        <w:numPr>
          <w:ilvl w:val="0"/>
          <w:numId w:val="6"/>
        </w:numPr>
        <w:tabs>
          <w:tab w:val="clear" w:pos="1134"/>
          <w:tab w:val="left" w:pos="709" w:leader="none"/>
        </w:tabs>
        <w:bidi w:val="0"/>
        <w:spacing w:before="0" w:after="0"/>
        <w:ind w:start="709" w:hanging="283"/>
        <w:jc w:val="start"/>
        <w:rPr/>
      </w:pPr>
      <w:r>
        <w:rPr/>
        <w:t xml:space="preserve">This study showed that AG X SFH was the best indicator among all of the other methods assessed followed by Hadlock’s formula by ultrasonographic method. </w:t>
      </w:r>
    </w:p>
    <w:p>
      <w:pPr>
        <w:pStyle w:val="TextBody"/>
        <w:numPr>
          <w:ilvl w:val="0"/>
          <w:numId w:val="6"/>
        </w:numPr>
        <w:tabs>
          <w:tab w:val="clear" w:pos="1134"/>
          <w:tab w:val="left" w:pos="709" w:leader="none"/>
        </w:tabs>
        <w:bidi w:val="0"/>
        <w:spacing w:before="0" w:after="0"/>
        <w:ind w:start="709" w:hanging="283"/>
        <w:jc w:val="start"/>
        <w:rPr/>
      </w:pPr>
      <w:r>
        <w:rPr/>
        <w:t xml:space="preserve">Other studies have reported limited accuracy of ultrasound EFW at term, particularly in macrosomic fetuses but over all accuracy of this formula is same for all infants. </w:t>
      </w:r>
    </w:p>
    <w:p>
      <w:pPr>
        <w:pStyle w:val="TextBody"/>
        <w:numPr>
          <w:ilvl w:val="0"/>
          <w:numId w:val="6"/>
        </w:numPr>
        <w:tabs>
          <w:tab w:val="clear" w:pos="1134"/>
          <w:tab w:val="left" w:pos="709" w:leader="none"/>
        </w:tabs>
        <w:bidi w:val="0"/>
        <w:spacing w:before="0" w:after="0"/>
        <w:ind w:start="709" w:hanging="283"/>
        <w:jc w:val="start"/>
        <w:rPr/>
      </w:pPr>
      <w:r>
        <w:rPr/>
        <w:t xml:space="preserve">Equipped with information about the fetal weight the obstetrician managing labour is able to pursue sound obstetric management, reducing perinatal morbidity and mortality. </w:t>
      </w:r>
    </w:p>
    <w:p>
      <w:pPr>
        <w:pStyle w:val="TextBody"/>
        <w:numPr>
          <w:ilvl w:val="0"/>
          <w:numId w:val="6"/>
        </w:numPr>
        <w:tabs>
          <w:tab w:val="clear" w:pos="1134"/>
          <w:tab w:val="left" w:pos="709" w:leader="none"/>
        </w:tabs>
        <w:bidi w:val="0"/>
        <w:spacing w:before="0" w:after="0"/>
        <w:ind w:start="709" w:hanging="283"/>
        <w:jc w:val="start"/>
        <w:rPr/>
      </w:pPr>
      <w:r>
        <w:rPr/>
        <w:t xml:space="preserve">Symphysiofundal height is one of the important clinical parameters taken for fetal weight estimation by AG X SFH, Johnson’s formula, Dawn’s formula. </w:t>
      </w:r>
    </w:p>
    <w:p>
      <w:pPr>
        <w:pStyle w:val="TextBody"/>
        <w:numPr>
          <w:ilvl w:val="0"/>
          <w:numId w:val="6"/>
        </w:numPr>
        <w:tabs>
          <w:tab w:val="clear" w:pos="1134"/>
          <w:tab w:val="left" w:pos="709" w:leader="none"/>
        </w:tabs>
        <w:bidi w:val="0"/>
        <w:spacing w:before="0" w:after="0"/>
        <w:ind w:start="709" w:hanging="283"/>
        <w:jc w:val="start"/>
        <w:rPr/>
      </w:pPr>
      <w:r>
        <w:rPr/>
        <w:t xml:space="preserve">According to my study, Hadlock’s ultrasonographic method was the most accurate for estimating fetal weight. </w:t>
      </w:r>
    </w:p>
    <w:p>
      <w:pPr>
        <w:pStyle w:val="TextBody"/>
        <w:numPr>
          <w:ilvl w:val="0"/>
          <w:numId w:val="6"/>
        </w:numPr>
        <w:tabs>
          <w:tab w:val="clear" w:pos="1134"/>
          <w:tab w:val="left" w:pos="709" w:leader="none"/>
        </w:tabs>
        <w:bidi w:val="0"/>
        <w:spacing w:before="0" w:after="0"/>
        <w:ind w:start="709" w:hanging="283"/>
        <w:jc w:val="start"/>
        <w:rPr/>
      </w:pPr>
      <w:r>
        <w:rPr/>
        <w:t xml:space="preserve">Of the three clinical methods, AG X SFH has better predictable results than the other 2 methods. </w:t>
      </w:r>
    </w:p>
    <w:p>
      <w:pPr>
        <w:pStyle w:val="TextBody"/>
        <w:numPr>
          <w:ilvl w:val="0"/>
          <w:numId w:val="6"/>
        </w:numPr>
        <w:tabs>
          <w:tab w:val="clear" w:pos="1134"/>
          <w:tab w:val="left" w:pos="709" w:leader="none"/>
        </w:tabs>
        <w:bidi w:val="0"/>
        <w:spacing w:before="0" w:after="0"/>
        <w:ind w:start="709" w:hanging="283"/>
        <w:jc w:val="start"/>
        <w:rPr/>
      </w:pPr>
      <w:r>
        <w:rPr/>
        <w:t xml:space="preserve">AG X SFH, a clinical formula can be of great value in a developing country like ours where ultrasound is not available at many health care delivery centres. </w:t>
      </w:r>
    </w:p>
    <w:p>
      <w:pPr>
        <w:pStyle w:val="TextBody"/>
        <w:numPr>
          <w:ilvl w:val="0"/>
          <w:numId w:val="6"/>
        </w:numPr>
        <w:tabs>
          <w:tab w:val="clear" w:pos="1134"/>
          <w:tab w:val="left" w:pos="709" w:leader="none"/>
        </w:tabs>
        <w:bidi w:val="0"/>
        <w:ind w:start="709" w:hanging="283"/>
        <w:jc w:val="start"/>
        <w:rPr/>
      </w:pPr>
      <w:r>
        <w:rPr/>
        <w:t xml:space="preserve">It is easy and simple, can be used even by midwives. With less errors AG X SFH is easier to apply by paramedical workers for the evaluation of fetal weight even in the rural setup as like our area of this study. By this study the results are suggesting that Hadlock’s formula has least standard deviation but it requires ultrasonographic evaluation. So after it, AG X SFH is the second most formula for estimation of featl weight which is clinically applicable and most reliable method in the absence of sonologic setup. </w:t>
      </w:r>
    </w:p>
    <w:p>
      <w:pPr>
        <w:pStyle w:val="TextBody"/>
        <w:bidi w:val="0"/>
        <w:jc w:val="start"/>
        <w:rPr/>
      </w:pPr>
      <w:r>
        <w:rPr/>
        <w:t xml:space="preserve">CONCLUSION </w:t>
      </w:r>
    </w:p>
    <w:p>
      <w:pPr>
        <w:pStyle w:val="TextBody"/>
        <w:bidi w:val="0"/>
        <w:spacing w:before="0" w:after="283"/>
        <w:jc w:val="start"/>
        <w:rPr/>
      </w:pPr>
      <w:r>
        <w:rPr/>
        <w:t xml:space="preserve">Fundal height assessment is an inexpensive method for screening for fetal growth restriction. </w:t>
      </w:r>
      <w:r>
        <w:rPr>
          <w:position w:val="8"/>
          <w:sz w:val="19"/>
        </w:rPr>
        <w:t xml:space="preserve">1 </w:t>
      </w:r>
      <w:r>
        <w:rPr/>
        <w:t xml:space="preserve">Clinicians are biased in their fundal height measurements by knowledge of gestational age and use of a marked measuring tape. This tendency increases with higher patient BMI and with less provider experience. </w:t>
      </w:r>
      <w:r>
        <w:rPr>
          <w:position w:val="8"/>
          <w:sz w:val="19"/>
        </w:rPr>
        <w:t xml:space="preserve">2 </w:t>
      </w:r>
      <w:r>
        <w:rPr/>
        <w:t xml:space="preserve">While we have yet to establish reliable tests to predict which pregnancies are at risk of developing IUGR, surveillance of fetal growth in the third trimester of pregnancy continues to be the mainstay for the assessment of fetal well-being. Such surveillance is done by regular fundal height assessment, ultrasound biometry or a combination of both methods. </w:t>
      </w:r>
      <w:r>
        <w:rPr>
          <w:position w:val="8"/>
          <w:sz w:val="19"/>
        </w:rPr>
        <w:t xml:space="preserve">3 </w:t>
      </w:r>
      <w:r>
        <w:rPr/>
        <w:t xml:space="preserve">Relative growth of the SF height seems to be independent of fetal sex, maternal obesity and parity. </w:t>
      </w:r>
      <w:r>
        <w:rPr>
          <w:position w:val="8"/>
          <w:sz w:val="19"/>
        </w:rPr>
        <w:t xml:space="preserve">4 </w:t>
      </w:r>
      <w:r>
        <w:rPr/>
        <w:t xml:space="preserve">There is disagreement in SFH measurement between observers regarding the ability to separate small fundal heights from those that are not small (Bailey 1989). This becomes an issue especially in a clinical setting where the pregnant woman sees more than one clinician during the course of her pregnancy. Despite this, SFH measurement continues to be used in many countries on a large scale simply because of its low cost, ease of use, and need for very little training. </w:t>
      </w:r>
      <w:r>
        <w:rPr>
          <w:position w:val="8"/>
          <w:sz w:val="19"/>
        </w:rPr>
        <w:t xml:space="preserve">5 </w:t>
      </w:r>
      <w:r>
        <w:rPr/>
        <w:t xml:space="preserve">Ultrasound evaluation of fetal growth, behavior, and measurement of impedance to blood flow in fetal arterial and venous vessels form the cornerstone of evaluation of fetal condition and decision making. </w:t>
      </w:r>
      <w:r>
        <w:rPr>
          <w:position w:val="8"/>
          <w:sz w:val="19"/>
        </w:rPr>
        <w:t xml:space="preserve">6 </w:t>
      </w:r>
    </w:p>
    <w:p>
      <w:pPr>
        <w:pStyle w:val="TextBody"/>
        <w:bidi w:val="0"/>
        <w:spacing w:before="0" w:after="283"/>
        <w:jc w:val="start"/>
        <w:rPr/>
      </w:pPr>
      <w:r>
        <w:rPr/>
        <w:t xml:space="preserve">REFERENCES </w:t>
      </w:r>
    </w:p>
    <w:p>
      <w:pPr>
        <w:pStyle w:val="TextBody"/>
        <w:bidi w:val="0"/>
        <w:spacing w:before="0" w:after="283"/>
        <w:jc w:val="start"/>
        <w:rPr/>
      </w:pPr>
      <w:r>
        <w:rPr/>
        <w:t xml:space="preserve">1). Morse K, Williams A, Gardosi J (December 2009). “ Fetal growth screening by fundal height measurment”. </w:t>
      </w:r>
    </w:p>
    <w:p>
      <w:pPr>
        <w:pStyle w:val="TextBody"/>
        <w:bidi w:val="0"/>
        <w:spacing w:before="0" w:after="283"/>
        <w:jc w:val="start"/>
        <w:rPr/>
      </w:pPr>
      <w:r>
        <w:rPr/>
        <w:t xml:space="preserve">2). Jelks A, Cifuentes R, Ross MG (October 2007) “ Clinician bias in fundal height measurement”. </w:t>
      </w:r>
    </w:p>
    <w:p>
      <w:pPr>
        <w:pStyle w:val="TextBody"/>
        <w:bidi w:val="0"/>
        <w:spacing w:before="0" w:after="283"/>
        <w:jc w:val="start"/>
        <w:rPr/>
      </w:pPr>
      <w:r>
        <w:rPr/>
        <w:t xml:space="preserve">3). Gardosi &amp; Francis 1999, Morse et al 2009. « Standardised protocol for measurment of symphysio fundal height» </w:t>
      </w:r>
    </w:p>
    <w:p>
      <w:pPr>
        <w:pStyle w:val="TextBody"/>
        <w:bidi w:val="0"/>
        <w:spacing w:before="0" w:after="283"/>
        <w:jc w:val="start"/>
        <w:rPr/>
      </w:pPr>
      <w:r>
        <w:rPr/>
        <w:t xml:space="preserve">4). Bergman E, Axelsson O, Kieler H, Sonesson C, Petzold M. Relative growth for estimation of intrauterine growth retardation. . Submitted. 2010. </w:t>
      </w:r>
    </w:p>
    <w:p>
      <w:pPr>
        <w:pStyle w:val="TextBody"/>
        <w:bidi w:val="0"/>
        <w:spacing w:before="0" w:after="283"/>
        <w:jc w:val="start"/>
        <w:rPr/>
      </w:pPr>
      <w:r>
        <w:rPr/>
        <w:t xml:space="preserve">5). Robert Peter J, Ho J, Valliapan J, Sivasangari S. Symphysial fundal measurement (SFH) in pregnancy for detecting abnormal fetal growth (Protocol). The Cochrane Library. 2009(Issue 4). </w:t>
      </w:r>
    </w:p>
    <w:p>
      <w:pPr>
        <w:pStyle w:val="TextBody"/>
        <w:bidi w:val="0"/>
        <w:spacing w:before="0" w:after="283"/>
        <w:jc w:val="start"/>
        <w:rPr/>
      </w:pPr>
      <w:r>
        <w:rPr/>
        <w:t xml:space="preserve">6). Resnik R. Intrauterine growth restriction. Obstet Gynecol. 2002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https://assignbuster.com/comparative-study-of-methods-of-fetal-weight-estimation/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methods of fetal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methods-of-fetal-weight-est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methods of fetal weight estimation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methods of fetal weight estimation</dc:title>
  <dc:subject>Others;</dc:subject>
  <dc:creator>AssignBuster</dc:creator>
  <cp:keywords/>
  <dc:description>AIMS AND OBJECTIVES The aim of this study was to assess the fetal weight in term pregnancies by various methods- abdominal girth X symphysiofundal 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