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Pectin reduces blood cholesterol level</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Xinhao DAI </w:t>
      </w:r>
    </w:p>
    <w:p>
      <w:pPr>
        <w:pStyle w:val="TextBody"/>
        <w:bidi w:val="0"/>
        <w:jc w:val="start"/>
        <w:rPr/>
      </w:pPr>
      <w:r>
        <w:rPr/>
        <w:t xml:space="preserve">Introduction </w:t>
      </w:r>
    </w:p>
    <w:p>
      <w:pPr>
        <w:pStyle w:val="TextBody"/>
        <w:bidi w:val="0"/>
        <w:spacing w:before="0" w:after="283"/>
        <w:jc w:val="start"/>
        <w:rPr/>
      </w:pPr>
      <w:r>
        <w:rPr/>
        <w:t xml:space="preserve">Pectin is a complex polysaccharide present in plant cell walls, commonly presents in fruits and vegetables, commercially extracted from pulp waster during fruits juice processing. Pectin can be used as gelling agent in jams, marmalades and reduced sugar versions. It creates thickened textures and a homogenous distribution of fruit pieces. The consumption of pectin by human influences transit rate, nutrient absorption rate, and cholesterol absorption and secretion, so pectin is an important dietary fiber. However, the clinical use of pectin is very rarely mentioned (F Brouns, 2012). </w:t>
      </w:r>
    </w:p>
    <w:p>
      <w:pPr>
        <w:pStyle w:val="TextBody"/>
        <w:bidi w:val="0"/>
        <w:spacing w:before="0" w:after="283"/>
        <w:jc w:val="start"/>
        <w:rPr/>
      </w:pPr>
      <w:r>
        <w:rPr/>
        <w:t xml:space="preserve">The degree of esterification (DE) demonstrates the methyl esters in pectin chains. The pectin with DE&gt; 50% are high-methoxyl and forms viscous gels in the stomach at pH 2. 2-3. 5 (Ralet et al., 1994; Sila et al., 2009); the pectin with DE &lt;50% are low-methoxyl. The high-methoxyl pectin form gels with high sugar content (&gt; 60%) at low pH; low-methoxyl pectin forms gels with divalent cations (notably Ca </w:t>
      </w:r>
      <w:r>
        <w:rPr>
          <w:position w:val="8"/>
          <w:sz w:val="19"/>
        </w:rPr>
        <w:t xml:space="preserve">2+ </w:t>
      </w:r>
      <w:r>
        <w:rPr/>
        <w:t xml:space="preserve">) at pH 2. 5-6 (sugar addition not required) (Thibault and Ralet, 2008). </w:t>
      </w:r>
    </w:p>
    <w:p>
      <w:pPr>
        <w:pStyle w:val="TextBody"/>
        <w:bidi w:val="0"/>
        <w:spacing w:before="0" w:after="283"/>
        <w:jc w:val="start"/>
        <w:rPr/>
      </w:pPr>
      <w:r>
        <w:rPr/>
        <w:t xml:space="preserve">Cholesterol is an important biological molecule, which function as component of cell membrane structure as well as a precursor for the synthesis of the steroid hormones and bile acids. High concentration of cholesterol in human blood is related with coronary vascular disease, atherosis, stroke and many other diseases. </w:t>
      </w:r>
    </w:p>
    <w:p>
      <w:pPr>
        <w:pStyle w:val="TextBody"/>
        <w:bidi w:val="0"/>
        <w:spacing w:before="0" w:after="283"/>
        <w:jc w:val="start"/>
        <w:rPr/>
      </w:pPr>
      <w:r>
        <w:rPr/>
        <w:t xml:space="preserve">European Food Safety Authority (EFSA) (ESFA, 2010) has published the cholesterol lowing effects of of pectin on glycemia. In general, processing factors like DE, MW, and pectin source (e. g. citrus or apple) may affect the efficacy of pectin (Baker, 1997; Duvetter et al., 2009). </w:t>
      </w:r>
    </w:p>
    <w:p>
      <w:pPr>
        <w:pStyle w:val="TextBody"/>
        <w:bidi w:val="0"/>
        <w:spacing w:before="0" w:after="283"/>
        <w:jc w:val="start"/>
        <w:rPr/>
      </w:pPr>
      <w:r>
        <w:rPr/>
        <w:t xml:space="preserve">Cholesterol lowering in animals </w:t>
      </w:r>
    </w:p>
    <w:p>
      <w:pPr>
        <w:pStyle w:val="TextBody"/>
        <w:bidi w:val="0"/>
        <w:spacing w:before="0" w:after="283"/>
        <w:jc w:val="start"/>
        <w:rPr/>
      </w:pPr>
      <w:r>
        <w:rPr/>
        <w:t xml:space="preserve">Pectin has been reported being able to lower the cholesterol level of blood and liver in various animals, including guinea pigs (Gorinstein et al., 2005), rats (Krzysik et al., 2011), hamsters (Terpstra et al., 2002), chickens (Craig et al., 2006) and rabbits (Ismail et al., 1999). The effect of lowing cholesterol level by nine types of pectin with different molecular composition on 486 male broilers was studies, their serum cholesterol lowing efficacy was ranked as: citrus pectin DE-70 1⁄4 apple pectin DE-74apple pectin DE-354citrus pectin DE-04low-MW pectin4citrus pectin DE-354cellulose (Craig et al., 2006). </w:t>
      </w:r>
    </w:p>
    <w:p>
      <w:pPr>
        <w:pStyle w:val="TextBody"/>
        <w:bidi w:val="0"/>
        <w:spacing w:before="0" w:after="283"/>
        <w:jc w:val="start"/>
        <w:rPr/>
      </w:pPr>
      <w:r>
        <w:rPr/>
        <w:t xml:space="preserve">The mechanisms of cholesterol lowering in animals mostly are increasing fecal bile acid excretion, reduced plasma triacylglycerol, plasma total cholesterol, hepatic triacylglycerol, cholesterol synthesis and absorption, </w:t>
      </w:r>
      <w:r>
        <w:rPr>
          <w:rStyle w:val="Emphasis"/>
        </w:rPr>
        <w:t xml:space="preserve">et al </w:t>
      </w:r>
      <w:r>
        <w:rPr/>
        <w:t xml:space="preserve">. Some of the mechanisms may be related with humans (F Brouns, 2012). The result of experiments feeding Wistar rats with semipurified diet with psyllium or pectin, cellulose or rice bran supported the hypothesis that the hypocholesterolemic effect of soluble fibers is functioning by increasing synthesis and therefore pool size of bile acids (Hugh B. Matheson, 1995). Another study showed that the hydrophobic amidated pectins significantly modify cholesterol homeostasis in rants and might provide insight of an effective hypochelosterolemic agent. However, the amidation of pectin might reduce its fermentability (M. MAROUNEK, 2007). Overall, pectin influence animal blood cholesterol by affecting cholesterol homeostasis. </w:t>
      </w:r>
    </w:p>
    <w:p>
      <w:pPr>
        <w:pStyle w:val="TextBody"/>
        <w:bidi w:val="0"/>
        <w:spacing w:before="0" w:after="283"/>
        <w:jc w:val="start"/>
        <w:rPr/>
      </w:pPr>
      <w:r>
        <w:rPr/>
        <w:t xml:space="preserve">Cholesterol lowering in humans </w:t>
      </w:r>
    </w:p>
    <w:p>
      <w:pPr>
        <w:pStyle w:val="TextBody"/>
        <w:bidi w:val="0"/>
        <w:spacing w:before="0" w:after="283"/>
        <w:jc w:val="start"/>
        <w:rPr/>
      </w:pPr>
      <w:r>
        <w:rPr/>
        <w:t xml:space="preserve">There are not many clinical studies of pectin cholesterol lowing compared with animal studies. Generally, each gram of pectin lowers LDL cholesterol (LDL-C) by 0. 055mmol/L (Brown et al., 1999). A cause-and-effect relationship has been established with 6g pectin in ≥ 1 servings for maintenance of normal blood cholesterol concentration (ESFA, 2010). </w:t>
      </w:r>
    </w:p>
    <w:p>
      <w:pPr>
        <w:pStyle w:val="TextBody"/>
        <w:bidi w:val="0"/>
        <w:spacing w:before="0" w:after="283"/>
        <w:jc w:val="start"/>
        <w:rPr/>
      </w:pPr>
      <w:r>
        <w:rPr/>
        <w:t xml:space="preserve">The table 1 summarized the most important studies of pectin lowering cholesterol level before 1988 (Kay Behall, 1986) (Cerda, 1988) </w:t>
      </w:r>
    </w:p>
    <w:p>
      <w:pPr>
        <w:pStyle w:val="TextBody"/>
        <w:bidi w:val="0"/>
        <w:spacing w:before="0" w:after="283"/>
        <w:jc w:val="start"/>
        <w:rPr/>
      </w:pPr>
      <w:r>
        <w:rPr/>
        <w:t xml:space="preserve">Table 1. Pectin Lowering Cholesterol Level Studies Before 1988 </w:t>
      </w:r>
    </w:p>
    <w:tbl>
      <w:tblPr>
        <w:tblW w:w="6486" w:type="dxa"/>
        <w:jc w:val="start"/>
        <w:tblInd w:w="0" w:type="dxa"/>
        <w:tblLayout w:type="fixed"/>
        <w:tblCellMar>
          <w:top w:w="28" w:type="dxa"/>
          <w:start w:w="28" w:type="dxa"/>
          <w:bottom w:w="28" w:type="dxa"/>
          <w:end w:w="28" w:type="dxa"/>
        </w:tblCellMar>
      </w:tblPr>
      <w:tblGrid>
        <w:gridCol w:w="1636"/>
        <w:gridCol w:w="901"/>
        <w:gridCol w:w="661"/>
        <w:gridCol w:w="1171"/>
        <w:gridCol w:w="886"/>
        <w:gridCol w:w="1231"/>
      </w:tblGrid>
      <w:tr>
        <w:trPr/>
        <w:tc>
          <w:tcPr>
            <w:tcW w:w="1636" w:type="dxa"/>
            <w:tcBorders/>
            <w:vAlign w:val="center"/>
          </w:tcPr>
          <w:p>
            <w:pPr>
              <w:pStyle w:val="TableContents"/>
              <w:bidi w:val="0"/>
              <w:spacing w:before="0" w:after="283"/>
              <w:jc w:val="start"/>
              <w:rPr/>
            </w:pPr>
            <w:r>
              <w:rPr/>
              <w:t xml:space="preserve">Reference </w:t>
            </w:r>
          </w:p>
        </w:tc>
        <w:tc>
          <w:tcPr>
            <w:tcW w:w="901" w:type="dxa"/>
            <w:tcBorders/>
            <w:vAlign w:val="center"/>
          </w:tcPr>
          <w:p>
            <w:pPr>
              <w:pStyle w:val="TableContents"/>
              <w:bidi w:val="0"/>
              <w:spacing w:before="0" w:after="283"/>
              <w:jc w:val="start"/>
              <w:rPr/>
            </w:pPr>
            <w:r>
              <w:rPr/>
              <w:t xml:space="preserve">Subjects </w:t>
            </w:r>
          </w:p>
        </w:tc>
        <w:tc>
          <w:tcPr>
            <w:tcW w:w="661" w:type="dxa"/>
            <w:tcBorders/>
            <w:vAlign w:val="center"/>
          </w:tcPr>
          <w:p>
            <w:pPr>
              <w:pStyle w:val="TableContents"/>
              <w:bidi w:val="0"/>
              <w:jc w:val="start"/>
              <w:rPr/>
            </w:pPr>
            <w:r>
              <w:rPr/>
              <w:t xml:space="preserve">Time </w:t>
            </w:r>
          </w:p>
          <w:p>
            <w:pPr>
              <w:pStyle w:val="TableContents"/>
              <w:bidi w:val="0"/>
              <w:spacing w:before="0" w:after="283"/>
              <w:jc w:val="start"/>
              <w:rPr/>
            </w:pPr>
            <w:r>
              <w:rPr/>
              <w:t xml:space="preserve">Week </w:t>
            </w:r>
          </w:p>
        </w:tc>
        <w:tc>
          <w:tcPr>
            <w:tcW w:w="1171" w:type="dxa"/>
            <w:tcBorders/>
            <w:vAlign w:val="center"/>
          </w:tcPr>
          <w:p>
            <w:pPr>
              <w:pStyle w:val="TableContents"/>
              <w:bidi w:val="0"/>
              <w:spacing w:before="0" w:after="283"/>
              <w:jc w:val="start"/>
              <w:rPr/>
            </w:pPr>
            <w:r>
              <w:rPr/>
              <w:t xml:space="preserve">Diet </w:t>
            </w:r>
          </w:p>
        </w:tc>
        <w:tc>
          <w:tcPr>
            <w:tcW w:w="886" w:type="dxa"/>
            <w:tcBorders/>
            <w:vAlign w:val="center"/>
          </w:tcPr>
          <w:p>
            <w:pPr>
              <w:pStyle w:val="TableContents"/>
              <w:bidi w:val="0"/>
              <w:spacing w:before="0" w:after="283"/>
              <w:jc w:val="start"/>
              <w:rPr/>
            </w:pPr>
            <w:r>
              <w:rPr/>
              <w:t xml:space="preserve">Amount Pectin g/d </w:t>
            </w:r>
          </w:p>
        </w:tc>
        <w:tc>
          <w:tcPr>
            <w:tcW w:w="1231" w:type="dxa"/>
            <w:tcBorders/>
            <w:vAlign w:val="center"/>
          </w:tcPr>
          <w:p>
            <w:pPr>
              <w:pStyle w:val="TableContents"/>
              <w:bidi w:val="0"/>
              <w:spacing w:before="0" w:after="283"/>
              <w:jc w:val="start"/>
              <w:rPr/>
            </w:pPr>
            <w:r>
              <w:rPr/>
              <w:t xml:space="preserve">Cholesterol </w:t>
            </w:r>
          </w:p>
        </w:tc>
      </w:tr>
      <w:tr>
        <w:trPr/>
        <w:tc>
          <w:tcPr>
            <w:tcW w:w="1636" w:type="dxa"/>
            <w:tcBorders/>
            <w:vAlign w:val="center"/>
          </w:tcPr>
          <w:p>
            <w:pPr>
              <w:pStyle w:val="TableContents"/>
              <w:bidi w:val="0"/>
              <w:spacing w:before="0" w:after="283"/>
              <w:jc w:val="start"/>
              <w:rPr/>
            </w:pPr>
            <w:r>
              <w:rPr/>
              <w:t xml:space="preserve">Key et al. (1961) </w:t>
            </w:r>
          </w:p>
        </w:tc>
        <w:tc>
          <w:tcPr>
            <w:tcW w:w="901" w:type="dxa"/>
            <w:tcBorders/>
            <w:vAlign w:val="center"/>
          </w:tcPr>
          <w:p>
            <w:pPr>
              <w:pStyle w:val="TableContents"/>
              <w:bidi w:val="0"/>
              <w:spacing w:before="0" w:after="283"/>
              <w:jc w:val="start"/>
              <w:rPr/>
            </w:pPr>
            <w:r>
              <w:rPr/>
              <w:t xml:space="preserve">24 </w:t>
            </w:r>
          </w:p>
        </w:tc>
        <w:tc>
          <w:tcPr>
            <w:tcW w:w="661" w:type="dxa"/>
            <w:tcBorders/>
            <w:vAlign w:val="center"/>
          </w:tcPr>
          <w:p>
            <w:pPr>
              <w:pStyle w:val="TableContents"/>
              <w:bidi w:val="0"/>
              <w:spacing w:before="0" w:after="283"/>
              <w:jc w:val="start"/>
              <w:rPr/>
            </w:pPr>
            <w:r>
              <w:rPr/>
              <w:t xml:space="preserve">3 </w:t>
            </w:r>
          </w:p>
        </w:tc>
        <w:tc>
          <w:tcPr>
            <w:tcW w:w="1171" w:type="dxa"/>
            <w:tcBorders/>
            <w:vAlign w:val="center"/>
          </w:tcPr>
          <w:p>
            <w:pPr>
              <w:pStyle w:val="TableContents"/>
              <w:bidi w:val="0"/>
              <w:spacing w:before="0" w:after="283"/>
              <w:jc w:val="start"/>
              <w:rPr/>
            </w:pPr>
            <w:r>
              <w:rPr/>
              <w:t xml:space="preserve">Controlled </w:t>
            </w:r>
          </w:p>
        </w:tc>
        <w:tc>
          <w:tcPr>
            <w:tcW w:w="886" w:type="dxa"/>
            <w:tcBorders/>
            <w:vAlign w:val="center"/>
          </w:tcPr>
          <w:p>
            <w:pPr>
              <w:pStyle w:val="TableContents"/>
              <w:bidi w:val="0"/>
              <w:spacing w:before="0" w:after="283"/>
              <w:jc w:val="start"/>
              <w:rPr/>
            </w:pPr>
            <w:r>
              <w:rPr/>
              <w:t xml:space="preserve">15 </w:t>
            </w:r>
          </w:p>
        </w:tc>
        <w:tc>
          <w:tcPr>
            <w:tcW w:w="1231" w:type="dxa"/>
            <w:tcBorders/>
            <w:vAlign w:val="center"/>
          </w:tcPr>
          <w:p>
            <w:pPr>
              <w:pStyle w:val="TableContents"/>
              <w:bidi w:val="0"/>
              <w:spacing w:before="0" w:after="283"/>
              <w:jc w:val="start"/>
              <w:rPr/>
            </w:pPr>
            <w:r>
              <w:rPr/>
              <w:t xml:space="preserve">-5% </w:t>
            </w:r>
          </w:p>
        </w:tc>
      </w:tr>
      <w:tr>
        <w:trPr/>
        <w:tc>
          <w:tcPr>
            <w:tcW w:w="1636" w:type="dxa"/>
            <w:tcBorders/>
            <w:vAlign w:val="center"/>
          </w:tcPr>
          <w:p>
            <w:pPr>
              <w:pStyle w:val="TableContents"/>
              <w:bidi w:val="0"/>
              <w:spacing w:before="0" w:after="283"/>
              <w:jc w:val="start"/>
              <w:rPr/>
            </w:pPr>
            <w:r>
              <w:rPr/>
              <w:t xml:space="preserve">Fahrenbach et al. (1965) </w:t>
            </w:r>
          </w:p>
        </w:tc>
        <w:tc>
          <w:tcPr>
            <w:tcW w:w="901" w:type="dxa"/>
            <w:tcBorders/>
            <w:vAlign w:val="center"/>
          </w:tcPr>
          <w:p>
            <w:pPr>
              <w:pStyle w:val="TableContents"/>
              <w:bidi w:val="0"/>
              <w:spacing w:before="0" w:after="283"/>
              <w:jc w:val="start"/>
              <w:rPr/>
            </w:pPr>
            <w:r>
              <w:rPr/>
              <w:t xml:space="preserve">23 </w:t>
            </w:r>
          </w:p>
        </w:tc>
        <w:tc>
          <w:tcPr>
            <w:tcW w:w="661" w:type="dxa"/>
            <w:tcBorders/>
            <w:vAlign w:val="center"/>
          </w:tcPr>
          <w:p>
            <w:pPr>
              <w:pStyle w:val="TableContents"/>
              <w:bidi w:val="0"/>
              <w:spacing w:before="0" w:after="283"/>
              <w:jc w:val="start"/>
              <w:rPr/>
            </w:pPr>
            <w:r>
              <w:rPr/>
              <w:t xml:space="preserve">7-9 </w:t>
            </w:r>
          </w:p>
        </w:tc>
        <w:tc>
          <w:tcPr>
            <w:tcW w:w="1171" w:type="dxa"/>
            <w:tcBorders/>
            <w:vAlign w:val="center"/>
          </w:tcPr>
          <w:p>
            <w:pPr>
              <w:pStyle w:val="TableContents"/>
              <w:bidi w:val="0"/>
              <w:spacing w:before="0" w:after="283"/>
              <w:jc w:val="start"/>
              <w:rPr/>
            </w:pPr>
            <w:r>
              <w:rPr/>
              <w:t xml:space="preserve">? </w:t>
            </w:r>
          </w:p>
        </w:tc>
        <w:tc>
          <w:tcPr>
            <w:tcW w:w="886" w:type="dxa"/>
            <w:tcBorders/>
            <w:vAlign w:val="center"/>
          </w:tcPr>
          <w:p>
            <w:pPr>
              <w:pStyle w:val="TableContents"/>
              <w:bidi w:val="0"/>
              <w:spacing w:before="0" w:after="283"/>
              <w:jc w:val="start"/>
              <w:rPr/>
            </w:pPr>
            <w:r>
              <w:rPr/>
              <w:t xml:space="preserve">6-12 </w:t>
            </w:r>
          </w:p>
        </w:tc>
        <w:tc>
          <w:tcPr>
            <w:tcW w:w="1231" w:type="dxa"/>
            <w:tcBorders/>
            <w:vAlign w:val="center"/>
          </w:tcPr>
          <w:p>
            <w:pPr>
              <w:pStyle w:val="TableContents"/>
              <w:bidi w:val="0"/>
              <w:spacing w:before="0" w:after="283"/>
              <w:jc w:val="start"/>
              <w:rPr/>
            </w:pPr>
            <w:r>
              <w:rPr/>
              <w:t xml:space="preserve">0 </w:t>
            </w:r>
          </w:p>
        </w:tc>
      </w:tr>
      <w:tr>
        <w:trPr/>
        <w:tc>
          <w:tcPr>
            <w:tcW w:w="1636" w:type="dxa"/>
            <w:tcBorders/>
            <w:vAlign w:val="center"/>
          </w:tcPr>
          <w:p>
            <w:pPr>
              <w:pStyle w:val="TableContents"/>
              <w:bidi w:val="0"/>
              <w:spacing w:before="0" w:after="283"/>
              <w:jc w:val="start"/>
              <w:rPr/>
            </w:pPr>
            <w:r>
              <w:rPr/>
              <w:t xml:space="preserve">Palmer et al. (1966) </w:t>
            </w:r>
          </w:p>
        </w:tc>
        <w:tc>
          <w:tcPr>
            <w:tcW w:w="901" w:type="dxa"/>
            <w:tcBorders/>
            <w:vAlign w:val="center"/>
          </w:tcPr>
          <w:p>
            <w:pPr>
              <w:pStyle w:val="TableContents"/>
              <w:bidi w:val="0"/>
              <w:spacing w:before="0" w:after="283"/>
              <w:jc w:val="start"/>
              <w:rPr/>
            </w:pPr>
            <w:r>
              <w:rPr/>
              <w:t xml:space="preserve">16 </w:t>
            </w:r>
          </w:p>
        </w:tc>
        <w:tc>
          <w:tcPr>
            <w:tcW w:w="661" w:type="dxa"/>
            <w:tcBorders/>
            <w:vAlign w:val="center"/>
          </w:tcPr>
          <w:p>
            <w:pPr>
              <w:pStyle w:val="TableContents"/>
              <w:bidi w:val="0"/>
              <w:spacing w:before="0" w:after="283"/>
              <w:jc w:val="start"/>
              <w:rPr/>
            </w:pPr>
            <w:r>
              <w:rPr/>
              <w:t xml:space="preserve">4 </w:t>
            </w:r>
          </w:p>
        </w:tc>
        <w:tc>
          <w:tcPr>
            <w:tcW w:w="1171" w:type="dxa"/>
            <w:tcBorders/>
            <w:vAlign w:val="center"/>
          </w:tcPr>
          <w:p>
            <w:pPr>
              <w:pStyle w:val="TableContents"/>
              <w:bidi w:val="0"/>
              <w:spacing w:before="0" w:after="283"/>
              <w:jc w:val="start"/>
              <w:rPr/>
            </w:pPr>
            <w:r>
              <w:rPr/>
              <w:t xml:space="preserve">Self-served </w:t>
            </w:r>
          </w:p>
        </w:tc>
        <w:tc>
          <w:tcPr>
            <w:tcW w:w="886" w:type="dxa"/>
            <w:tcBorders/>
            <w:vAlign w:val="center"/>
          </w:tcPr>
          <w:p>
            <w:pPr>
              <w:pStyle w:val="TableContents"/>
              <w:bidi w:val="0"/>
              <w:spacing w:before="0" w:after="283"/>
              <w:jc w:val="start"/>
              <w:rPr/>
            </w:pPr>
            <w:r>
              <w:rPr/>
              <w:t xml:space="preserve">2-10 </w:t>
            </w:r>
          </w:p>
        </w:tc>
        <w:tc>
          <w:tcPr>
            <w:tcW w:w="1231" w:type="dxa"/>
            <w:tcBorders/>
            <w:vAlign w:val="center"/>
          </w:tcPr>
          <w:p>
            <w:pPr>
              <w:pStyle w:val="TableContents"/>
              <w:bidi w:val="0"/>
              <w:spacing w:before="0" w:after="283"/>
              <w:jc w:val="start"/>
              <w:rPr/>
            </w:pPr>
            <w:r>
              <w:rPr/>
              <w:t xml:space="preserve">-6% for ≥6g pectin/d </w:t>
            </w:r>
          </w:p>
        </w:tc>
      </w:tr>
      <w:tr>
        <w:trPr/>
        <w:tc>
          <w:tcPr>
            <w:tcW w:w="1636" w:type="dxa"/>
            <w:tcBorders/>
            <w:vAlign w:val="center"/>
          </w:tcPr>
          <w:p>
            <w:pPr>
              <w:pStyle w:val="TableContents"/>
              <w:bidi w:val="0"/>
              <w:spacing w:before="0" w:after="283"/>
              <w:jc w:val="start"/>
              <w:rPr/>
            </w:pPr>
            <w:r>
              <w:rPr/>
              <w:t xml:space="preserve">Jenkins et al. (1975) </w:t>
            </w:r>
          </w:p>
        </w:tc>
        <w:tc>
          <w:tcPr>
            <w:tcW w:w="901" w:type="dxa"/>
            <w:tcBorders/>
            <w:vAlign w:val="center"/>
          </w:tcPr>
          <w:p>
            <w:pPr>
              <w:pStyle w:val="TableContents"/>
              <w:bidi w:val="0"/>
              <w:spacing w:before="0" w:after="283"/>
              <w:jc w:val="start"/>
              <w:rPr/>
            </w:pPr>
            <w:r>
              <w:rPr/>
              <w:t xml:space="preserve">12 </w:t>
            </w:r>
          </w:p>
        </w:tc>
        <w:tc>
          <w:tcPr>
            <w:tcW w:w="661" w:type="dxa"/>
            <w:tcBorders/>
            <w:vAlign w:val="center"/>
          </w:tcPr>
          <w:p>
            <w:pPr>
              <w:pStyle w:val="TableContents"/>
              <w:bidi w:val="0"/>
              <w:spacing w:before="0" w:after="283"/>
              <w:jc w:val="start"/>
              <w:rPr/>
            </w:pPr>
            <w:r>
              <w:rPr/>
              <w:t xml:space="preserve">4 </w:t>
            </w:r>
          </w:p>
        </w:tc>
        <w:tc>
          <w:tcPr>
            <w:tcW w:w="1171" w:type="dxa"/>
            <w:tcBorders/>
            <w:vAlign w:val="center"/>
          </w:tcPr>
          <w:p>
            <w:pPr>
              <w:pStyle w:val="TableContents"/>
              <w:bidi w:val="0"/>
              <w:spacing w:before="0" w:after="283"/>
              <w:jc w:val="start"/>
              <w:rPr/>
            </w:pPr>
            <w:r>
              <w:rPr/>
              <w:t xml:space="preserve">Self-served </w:t>
            </w:r>
          </w:p>
        </w:tc>
        <w:tc>
          <w:tcPr>
            <w:tcW w:w="886" w:type="dxa"/>
            <w:tcBorders/>
            <w:vAlign w:val="center"/>
          </w:tcPr>
          <w:p>
            <w:pPr>
              <w:pStyle w:val="TableContents"/>
              <w:bidi w:val="0"/>
              <w:spacing w:before="0" w:after="283"/>
              <w:jc w:val="start"/>
              <w:rPr/>
            </w:pPr>
            <w:r>
              <w:rPr/>
              <w:t xml:space="preserve">36 </w:t>
            </w:r>
          </w:p>
        </w:tc>
        <w:tc>
          <w:tcPr>
            <w:tcW w:w="1231" w:type="dxa"/>
            <w:tcBorders/>
            <w:vAlign w:val="center"/>
          </w:tcPr>
          <w:p>
            <w:pPr>
              <w:pStyle w:val="TableContents"/>
              <w:bidi w:val="0"/>
              <w:spacing w:before="0" w:after="283"/>
              <w:jc w:val="start"/>
              <w:rPr/>
            </w:pPr>
            <w:r>
              <w:rPr/>
              <w:t xml:space="preserve">-12% </w:t>
            </w:r>
          </w:p>
        </w:tc>
      </w:tr>
      <w:tr>
        <w:trPr/>
        <w:tc>
          <w:tcPr>
            <w:tcW w:w="1636" w:type="dxa"/>
            <w:tcBorders/>
            <w:vAlign w:val="center"/>
          </w:tcPr>
          <w:p>
            <w:pPr>
              <w:pStyle w:val="TableContents"/>
              <w:bidi w:val="0"/>
              <w:spacing w:before="0" w:after="283"/>
              <w:jc w:val="start"/>
              <w:rPr/>
            </w:pPr>
            <w:r>
              <w:rPr/>
              <w:t xml:space="preserve">Hopson et al. (1975) </w:t>
            </w:r>
          </w:p>
        </w:tc>
        <w:tc>
          <w:tcPr>
            <w:tcW w:w="901" w:type="dxa"/>
            <w:tcBorders/>
            <w:vAlign w:val="center"/>
          </w:tcPr>
          <w:p>
            <w:pPr>
              <w:pStyle w:val="TableContents"/>
              <w:bidi w:val="0"/>
              <w:spacing w:before="0" w:after="283"/>
              <w:jc w:val="start"/>
              <w:rPr/>
            </w:pPr>
            <w:r>
              <w:rPr/>
              <w:t xml:space="preserve">3 </w:t>
            </w:r>
          </w:p>
        </w:tc>
        <w:tc>
          <w:tcPr>
            <w:tcW w:w="661" w:type="dxa"/>
            <w:tcBorders/>
            <w:vAlign w:val="center"/>
          </w:tcPr>
          <w:p>
            <w:pPr>
              <w:pStyle w:val="TableContents"/>
              <w:bidi w:val="0"/>
              <w:spacing w:before="0" w:after="283"/>
              <w:jc w:val="start"/>
              <w:rPr/>
            </w:pPr>
            <w:r>
              <w:rPr/>
              <w:t xml:space="preserve">5 </w:t>
            </w:r>
          </w:p>
        </w:tc>
        <w:tc>
          <w:tcPr>
            <w:tcW w:w="1171" w:type="dxa"/>
            <w:tcBorders/>
            <w:vAlign w:val="center"/>
          </w:tcPr>
          <w:p>
            <w:pPr>
              <w:pStyle w:val="TableContents"/>
              <w:bidi w:val="0"/>
              <w:spacing w:before="0" w:after="283"/>
              <w:jc w:val="start"/>
              <w:rPr/>
            </w:pPr>
            <w:r>
              <w:rPr/>
              <w:t xml:space="preserve">Controlled </w:t>
            </w:r>
          </w:p>
        </w:tc>
        <w:tc>
          <w:tcPr>
            <w:tcW w:w="886" w:type="dxa"/>
            <w:tcBorders/>
            <w:vAlign w:val="center"/>
          </w:tcPr>
          <w:p>
            <w:pPr>
              <w:pStyle w:val="TableContents"/>
              <w:bidi w:val="0"/>
              <w:spacing w:before="0" w:after="283"/>
              <w:jc w:val="start"/>
              <w:rPr/>
            </w:pPr>
            <w:r>
              <w:rPr/>
              <w:t xml:space="preserve">20-23 </w:t>
            </w:r>
          </w:p>
        </w:tc>
        <w:tc>
          <w:tcPr>
            <w:tcW w:w="1231" w:type="dxa"/>
            <w:tcBorders/>
            <w:vAlign w:val="center"/>
          </w:tcPr>
          <w:p>
            <w:pPr>
              <w:pStyle w:val="TableContents"/>
              <w:bidi w:val="0"/>
              <w:spacing w:before="0" w:after="283"/>
              <w:jc w:val="start"/>
              <w:rPr/>
            </w:pPr>
            <w:r>
              <w:rPr/>
              <w:t xml:space="preserve">-13% </w:t>
            </w:r>
          </w:p>
        </w:tc>
      </w:tr>
      <w:tr>
        <w:trPr/>
        <w:tc>
          <w:tcPr>
            <w:tcW w:w="1636" w:type="dxa"/>
            <w:tcBorders/>
            <w:vAlign w:val="center"/>
          </w:tcPr>
          <w:p>
            <w:pPr>
              <w:pStyle w:val="TableContents"/>
              <w:bidi w:val="0"/>
              <w:spacing w:before="0" w:after="283"/>
              <w:jc w:val="start"/>
              <w:rPr/>
            </w:pPr>
            <w:r>
              <w:rPr/>
              <w:t xml:space="preserve">Durrington et al. (1976) </w:t>
            </w:r>
          </w:p>
        </w:tc>
        <w:tc>
          <w:tcPr>
            <w:tcW w:w="901" w:type="dxa"/>
            <w:tcBorders/>
            <w:vAlign w:val="center"/>
          </w:tcPr>
          <w:p>
            <w:pPr>
              <w:pStyle w:val="TableContents"/>
              <w:bidi w:val="0"/>
              <w:spacing w:before="0" w:after="283"/>
              <w:jc w:val="start"/>
              <w:rPr/>
            </w:pPr>
            <w:r>
              <w:rPr/>
              <w:t xml:space="preserve">12 </w:t>
            </w:r>
          </w:p>
        </w:tc>
        <w:tc>
          <w:tcPr>
            <w:tcW w:w="661" w:type="dxa"/>
            <w:tcBorders/>
            <w:vAlign w:val="center"/>
          </w:tcPr>
          <w:p>
            <w:pPr>
              <w:pStyle w:val="TableContents"/>
              <w:bidi w:val="0"/>
              <w:spacing w:before="0" w:after="283"/>
              <w:jc w:val="start"/>
              <w:rPr/>
            </w:pPr>
            <w:r>
              <w:rPr/>
              <w:t xml:space="preserve">3 </w:t>
            </w:r>
          </w:p>
        </w:tc>
        <w:tc>
          <w:tcPr>
            <w:tcW w:w="1171" w:type="dxa"/>
            <w:tcBorders/>
            <w:vAlign w:val="center"/>
          </w:tcPr>
          <w:p>
            <w:pPr>
              <w:pStyle w:val="TableContents"/>
              <w:bidi w:val="0"/>
              <w:spacing w:before="0" w:after="283"/>
              <w:jc w:val="start"/>
              <w:rPr/>
            </w:pPr>
            <w:r>
              <w:rPr/>
              <w:t xml:space="preserve">Self-served </w:t>
            </w:r>
          </w:p>
        </w:tc>
        <w:tc>
          <w:tcPr>
            <w:tcW w:w="886" w:type="dxa"/>
            <w:tcBorders/>
            <w:vAlign w:val="center"/>
          </w:tcPr>
          <w:p>
            <w:pPr>
              <w:pStyle w:val="TableContents"/>
              <w:bidi w:val="0"/>
              <w:spacing w:before="0" w:after="283"/>
              <w:jc w:val="start"/>
              <w:rPr/>
            </w:pPr>
            <w:r>
              <w:rPr/>
              <w:t xml:space="preserve">12 </w:t>
            </w:r>
          </w:p>
        </w:tc>
        <w:tc>
          <w:tcPr>
            <w:tcW w:w="1231" w:type="dxa"/>
            <w:tcBorders/>
            <w:vAlign w:val="center"/>
          </w:tcPr>
          <w:p>
            <w:pPr>
              <w:pStyle w:val="TableContents"/>
              <w:bidi w:val="0"/>
              <w:spacing w:before="0" w:after="283"/>
              <w:jc w:val="start"/>
              <w:rPr/>
            </w:pPr>
            <w:r>
              <w:rPr/>
              <w:t xml:space="preserve">-8% </w:t>
            </w:r>
          </w:p>
        </w:tc>
      </w:tr>
      <w:tr>
        <w:trPr/>
        <w:tc>
          <w:tcPr>
            <w:tcW w:w="1636" w:type="dxa"/>
            <w:tcBorders/>
            <w:vAlign w:val="center"/>
          </w:tcPr>
          <w:p>
            <w:pPr>
              <w:pStyle w:val="TableContents"/>
              <w:bidi w:val="0"/>
              <w:spacing w:before="0" w:after="283"/>
              <w:jc w:val="start"/>
              <w:rPr/>
            </w:pPr>
            <w:r>
              <w:rPr/>
              <w:t xml:space="preserve">Kay et al. (1977) </w:t>
            </w:r>
          </w:p>
        </w:tc>
        <w:tc>
          <w:tcPr>
            <w:tcW w:w="901" w:type="dxa"/>
            <w:tcBorders/>
            <w:vAlign w:val="center"/>
          </w:tcPr>
          <w:p>
            <w:pPr>
              <w:pStyle w:val="TableContents"/>
              <w:bidi w:val="0"/>
              <w:spacing w:before="0" w:after="283"/>
              <w:jc w:val="start"/>
              <w:rPr/>
            </w:pPr>
            <w:r>
              <w:rPr/>
              <w:t xml:space="preserve">9 </w:t>
            </w:r>
          </w:p>
        </w:tc>
        <w:tc>
          <w:tcPr>
            <w:tcW w:w="661" w:type="dxa"/>
            <w:tcBorders/>
            <w:vAlign w:val="center"/>
          </w:tcPr>
          <w:p>
            <w:pPr>
              <w:pStyle w:val="TableContents"/>
              <w:bidi w:val="0"/>
              <w:spacing w:before="0" w:after="283"/>
              <w:jc w:val="start"/>
              <w:rPr/>
            </w:pPr>
            <w:r>
              <w:rPr/>
              <w:t xml:space="preserve">3 </w:t>
            </w:r>
          </w:p>
        </w:tc>
        <w:tc>
          <w:tcPr>
            <w:tcW w:w="1171" w:type="dxa"/>
            <w:tcBorders/>
            <w:vAlign w:val="center"/>
          </w:tcPr>
          <w:p>
            <w:pPr>
              <w:pStyle w:val="TableContents"/>
              <w:bidi w:val="0"/>
              <w:spacing w:before="0" w:after="283"/>
              <w:jc w:val="start"/>
              <w:rPr/>
            </w:pPr>
            <w:r>
              <w:rPr/>
              <w:t xml:space="preserve">Controlled </w:t>
            </w:r>
          </w:p>
        </w:tc>
        <w:tc>
          <w:tcPr>
            <w:tcW w:w="886" w:type="dxa"/>
            <w:tcBorders/>
            <w:vAlign w:val="center"/>
          </w:tcPr>
          <w:p>
            <w:pPr>
              <w:pStyle w:val="TableContents"/>
              <w:bidi w:val="0"/>
              <w:spacing w:before="0" w:after="283"/>
              <w:jc w:val="start"/>
              <w:rPr/>
            </w:pPr>
            <w:r>
              <w:rPr/>
              <w:t xml:space="preserve">15 </w:t>
            </w:r>
          </w:p>
        </w:tc>
        <w:tc>
          <w:tcPr>
            <w:tcW w:w="1231" w:type="dxa"/>
            <w:tcBorders/>
            <w:vAlign w:val="center"/>
          </w:tcPr>
          <w:p>
            <w:pPr>
              <w:pStyle w:val="TableContents"/>
              <w:bidi w:val="0"/>
              <w:spacing w:before="0" w:after="283"/>
              <w:jc w:val="start"/>
              <w:rPr/>
            </w:pPr>
            <w:r>
              <w:rPr/>
              <w:t xml:space="preserve">-13% </w:t>
            </w:r>
          </w:p>
        </w:tc>
      </w:tr>
      <w:tr>
        <w:trPr/>
        <w:tc>
          <w:tcPr>
            <w:tcW w:w="1636" w:type="dxa"/>
            <w:tcBorders/>
            <w:vAlign w:val="center"/>
          </w:tcPr>
          <w:p>
            <w:pPr>
              <w:pStyle w:val="TableContents"/>
              <w:bidi w:val="0"/>
              <w:spacing w:before="0" w:after="283"/>
              <w:jc w:val="start"/>
              <w:rPr/>
            </w:pPr>
            <w:r>
              <w:rPr/>
              <w:t xml:space="preserve">Raymond et al. (1977) </w:t>
            </w:r>
          </w:p>
        </w:tc>
        <w:tc>
          <w:tcPr>
            <w:tcW w:w="901" w:type="dxa"/>
            <w:tcBorders/>
            <w:vAlign w:val="center"/>
          </w:tcPr>
          <w:p>
            <w:pPr>
              <w:pStyle w:val="TableContents"/>
              <w:bidi w:val="0"/>
              <w:spacing w:before="0" w:after="283"/>
              <w:jc w:val="start"/>
              <w:rPr/>
            </w:pPr>
            <w:r>
              <w:rPr/>
              <w:t xml:space="preserve">6 </w:t>
            </w:r>
          </w:p>
        </w:tc>
        <w:tc>
          <w:tcPr>
            <w:tcW w:w="661" w:type="dxa"/>
            <w:tcBorders/>
            <w:vAlign w:val="center"/>
          </w:tcPr>
          <w:p>
            <w:pPr>
              <w:pStyle w:val="TableContents"/>
              <w:bidi w:val="0"/>
              <w:spacing w:before="0" w:after="283"/>
              <w:jc w:val="start"/>
              <w:rPr/>
            </w:pPr>
            <w:r>
              <w:rPr/>
              <w:t xml:space="preserve">4 </w:t>
            </w:r>
          </w:p>
        </w:tc>
        <w:tc>
          <w:tcPr>
            <w:tcW w:w="1171" w:type="dxa"/>
            <w:tcBorders/>
            <w:vAlign w:val="center"/>
          </w:tcPr>
          <w:p>
            <w:pPr>
              <w:pStyle w:val="TableContents"/>
              <w:bidi w:val="0"/>
              <w:spacing w:before="0" w:after="283"/>
              <w:jc w:val="start"/>
              <w:rPr/>
            </w:pPr>
            <w:r>
              <w:rPr/>
              <w:t xml:space="preserve">Controlled </w:t>
            </w:r>
          </w:p>
        </w:tc>
        <w:tc>
          <w:tcPr>
            <w:tcW w:w="886" w:type="dxa"/>
            <w:tcBorders/>
            <w:vAlign w:val="center"/>
          </w:tcPr>
          <w:p>
            <w:pPr>
              <w:pStyle w:val="TableContents"/>
              <w:bidi w:val="0"/>
              <w:spacing w:before="0" w:after="283"/>
              <w:jc w:val="start"/>
              <w:rPr/>
            </w:pPr>
            <w:r>
              <w:rPr/>
              <w:t xml:space="preserve">2 </w:t>
            </w:r>
          </w:p>
        </w:tc>
        <w:tc>
          <w:tcPr>
            <w:tcW w:w="1231" w:type="dxa"/>
            <w:tcBorders/>
            <w:vAlign w:val="center"/>
          </w:tcPr>
          <w:p>
            <w:pPr>
              <w:pStyle w:val="TableContents"/>
              <w:bidi w:val="0"/>
              <w:spacing w:before="0" w:after="283"/>
              <w:jc w:val="start"/>
              <w:rPr/>
            </w:pPr>
            <w:r>
              <w:rPr/>
              <w:t xml:space="preserve">0 </w:t>
            </w:r>
          </w:p>
        </w:tc>
      </w:tr>
      <w:tr>
        <w:trPr/>
        <w:tc>
          <w:tcPr>
            <w:tcW w:w="1636" w:type="dxa"/>
            <w:tcBorders/>
            <w:vAlign w:val="center"/>
          </w:tcPr>
          <w:p>
            <w:pPr>
              <w:pStyle w:val="TableContents"/>
              <w:bidi w:val="0"/>
              <w:spacing w:before="0" w:after="283"/>
              <w:jc w:val="start"/>
              <w:rPr/>
            </w:pPr>
            <w:r>
              <w:rPr/>
              <w:t xml:space="preserve">Delbarre et al. (1977) </w:t>
            </w:r>
          </w:p>
        </w:tc>
        <w:tc>
          <w:tcPr>
            <w:tcW w:w="901" w:type="dxa"/>
            <w:tcBorders/>
            <w:vAlign w:val="center"/>
          </w:tcPr>
          <w:p>
            <w:pPr>
              <w:pStyle w:val="TableContents"/>
              <w:bidi w:val="0"/>
              <w:spacing w:before="0" w:after="283"/>
              <w:jc w:val="start"/>
              <w:rPr/>
            </w:pPr>
            <w:r>
              <w:rPr/>
              <w:t xml:space="preserve">10 </w:t>
            </w:r>
          </w:p>
        </w:tc>
        <w:tc>
          <w:tcPr>
            <w:tcW w:w="661" w:type="dxa"/>
            <w:tcBorders/>
            <w:vAlign w:val="center"/>
          </w:tcPr>
          <w:p>
            <w:pPr>
              <w:pStyle w:val="TableContents"/>
              <w:bidi w:val="0"/>
              <w:spacing w:before="0" w:after="283"/>
              <w:jc w:val="start"/>
              <w:rPr/>
            </w:pPr>
            <w:r>
              <w:rPr/>
              <w:t xml:space="preserve">6 </w:t>
            </w:r>
          </w:p>
        </w:tc>
        <w:tc>
          <w:tcPr>
            <w:tcW w:w="1171" w:type="dxa"/>
            <w:tcBorders/>
            <w:vAlign w:val="center"/>
          </w:tcPr>
          <w:p>
            <w:pPr>
              <w:pStyle w:val="TableContents"/>
              <w:bidi w:val="0"/>
              <w:spacing w:before="0" w:after="283"/>
              <w:jc w:val="start"/>
              <w:rPr/>
            </w:pPr>
            <w:r>
              <w:rPr/>
              <w:t xml:space="preserve">Controlled </w:t>
            </w:r>
          </w:p>
        </w:tc>
        <w:tc>
          <w:tcPr>
            <w:tcW w:w="886" w:type="dxa"/>
            <w:tcBorders/>
            <w:vAlign w:val="center"/>
          </w:tcPr>
          <w:p>
            <w:pPr>
              <w:pStyle w:val="TableContents"/>
              <w:bidi w:val="0"/>
              <w:spacing w:before="0" w:after="283"/>
              <w:jc w:val="start"/>
              <w:rPr/>
            </w:pPr>
            <w:r>
              <w:rPr/>
              <w:t xml:space="preserve">6 </w:t>
            </w:r>
          </w:p>
        </w:tc>
        <w:tc>
          <w:tcPr>
            <w:tcW w:w="1231" w:type="dxa"/>
            <w:tcBorders/>
            <w:vAlign w:val="center"/>
          </w:tcPr>
          <w:p>
            <w:pPr>
              <w:pStyle w:val="TableContents"/>
              <w:bidi w:val="0"/>
              <w:spacing w:before="0" w:after="283"/>
              <w:jc w:val="start"/>
              <w:rPr/>
            </w:pPr>
            <w:r>
              <w:rPr/>
              <w:t xml:space="preserve">0 </w:t>
            </w:r>
          </w:p>
        </w:tc>
      </w:tr>
      <w:tr>
        <w:trPr/>
        <w:tc>
          <w:tcPr>
            <w:tcW w:w="1636" w:type="dxa"/>
            <w:tcBorders/>
            <w:vAlign w:val="center"/>
          </w:tcPr>
          <w:p>
            <w:pPr>
              <w:pStyle w:val="TableContents"/>
              <w:bidi w:val="0"/>
              <w:spacing w:before="0" w:after="283"/>
              <w:jc w:val="start"/>
              <w:rPr/>
            </w:pPr>
            <w:r>
              <w:rPr/>
              <w:t xml:space="preserve">Langley et al. (1977) </w:t>
            </w:r>
          </w:p>
        </w:tc>
        <w:tc>
          <w:tcPr>
            <w:tcW w:w="901" w:type="dxa"/>
            <w:tcBorders/>
            <w:vAlign w:val="center"/>
          </w:tcPr>
          <w:p>
            <w:pPr>
              <w:pStyle w:val="TableContents"/>
              <w:bidi w:val="0"/>
              <w:spacing w:before="0" w:after="283"/>
              <w:jc w:val="start"/>
              <w:rPr/>
            </w:pPr>
            <w:r>
              <w:rPr/>
              <w:t xml:space="preserve">11 </w:t>
            </w:r>
          </w:p>
        </w:tc>
        <w:tc>
          <w:tcPr>
            <w:tcW w:w="661" w:type="dxa"/>
            <w:tcBorders/>
            <w:vAlign w:val="center"/>
          </w:tcPr>
          <w:p>
            <w:pPr>
              <w:pStyle w:val="TableContents"/>
              <w:bidi w:val="0"/>
              <w:spacing w:before="0" w:after="283"/>
              <w:jc w:val="start"/>
              <w:rPr/>
            </w:pPr>
            <w:r>
              <w:rPr/>
              <w:t xml:space="preserve">4 </w:t>
            </w:r>
          </w:p>
        </w:tc>
        <w:tc>
          <w:tcPr>
            <w:tcW w:w="1171" w:type="dxa"/>
            <w:tcBorders/>
            <w:vAlign w:val="center"/>
          </w:tcPr>
          <w:p>
            <w:pPr>
              <w:pStyle w:val="TableContents"/>
              <w:bidi w:val="0"/>
              <w:spacing w:before="0" w:after="283"/>
              <w:jc w:val="start"/>
              <w:rPr/>
            </w:pPr>
            <w:r>
              <w:rPr/>
              <w:t xml:space="preserve">Controlled </w:t>
            </w:r>
          </w:p>
        </w:tc>
        <w:tc>
          <w:tcPr>
            <w:tcW w:w="886" w:type="dxa"/>
            <w:tcBorders/>
            <w:vAlign w:val="center"/>
          </w:tcPr>
          <w:p>
            <w:pPr>
              <w:pStyle w:val="TableContents"/>
              <w:bidi w:val="0"/>
              <w:spacing w:before="0" w:after="283"/>
              <w:jc w:val="start"/>
              <w:rPr/>
            </w:pPr>
            <w:r>
              <w:rPr/>
              <w:t xml:space="preserve">10 </w:t>
            </w:r>
          </w:p>
        </w:tc>
        <w:tc>
          <w:tcPr>
            <w:tcW w:w="1231" w:type="dxa"/>
            <w:tcBorders/>
            <w:vAlign w:val="center"/>
          </w:tcPr>
          <w:p>
            <w:pPr>
              <w:pStyle w:val="TableContents"/>
              <w:bidi w:val="0"/>
              <w:spacing w:before="0" w:after="283"/>
              <w:jc w:val="start"/>
              <w:rPr/>
            </w:pPr>
            <w:r>
              <w:rPr/>
              <w:t xml:space="preserve">Significant decrease </w:t>
            </w:r>
          </w:p>
        </w:tc>
      </w:tr>
      <w:tr>
        <w:trPr/>
        <w:tc>
          <w:tcPr>
            <w:tcW w:w="1636" w:type="dxa"/>
            <w:tcBorders/>
            <w:vAlign w:val="center"/>
          </w:tcPr>
          <w:p>
            <w:pPr>
              <w:pStyle w:val="TableContents"/>
              <w:bidi w:val="0"/>
              <w:spacing w:before="0" w:after="283"/>
              <w:jc w:val="start"/>
              <w:rPr/>
            </w:pPr>
            <w:r>
              <w:rPr/>
              <w:t xml:space="preserve">Jenkins et al. (1979) </w:t>
            </w:r>
          </w:p>
        </w:tc>
        <w:tc>
          <w:tcPr>
            <w:tcW w:w="901" w:type="dxa"/>
            <w:tcBorders/>
            <w:vAlign w:val="center"/>
          </w:tcPr>
          <w:p>
            <w:pPr>
              <w:pStyle w:val="TableContents"/>
              <w:bidi w:val="0"/>
              <w:spacing w:before="0" w:after="283"/>
              <w:jc w:val="start"/>
              <w:rPr/>
            </w:pPr>
            <w:r>
              <w:rPr/>
              <w:t xml:space="preserve">5 </w:t>
            </w:r>
          </w:p>
        </w:tc>
        <w:tc>
          <w:tcPr>
            <w:tcW w:w="661" w:type="dxa"/>
            <w:tcBorders/>
            <w:vAlign w:val="center"/>
          </w:tcPr>
          <w:p>
            <w:pPr>
              <w:pStyle w:val="TableContents"/>
              <w:bidi w:val="0"/>
              <w:spacing w:before="0" w:after="283"/>
              <w:jc w:val="start"/>
              <w:rPr/>
            </w:pPr>
            <w:r>
              <w:rPr/>
              <w:t xml:space="preserve">3 </w:t>
            </w:r>
          </w:p>
        </w:tc>
        <w:tc>
          <w:tcPr>
            <w:tcW w:w="1171" w:type="dxa"/>
            <w:tcBorders/>
            <w:vAlign w:val="center"/>
          </w:tcPr>
          <w:p>
            <w:pPr>
              <w:pStyle w:val="TableContents"/>
              <w:bidi w:val="0"/>
              <w:spacing w:before="0" w:after="283"/>
              <w:jc w:val="start"/>
              <w:rPr/>
            </w:pPr>
            <w:r>
              <w:rPr/>
              <w:t xml:space="preserve">Controlled </w:t>
            </w:r>
          </w:p>
        </w:tc>
        <w:tc>
          <w:tcPr>
            <w:tcW w:w="886" w:type="dxa"/>
            <w:tcBorders/>
            <w:vAlign w:val="center"/>
          </w:tcPr>
          <w:p>
            <w:pPr>
              <w:pStyle w:val="TableContents"/>
              <w:bidi w:val="0"/>
              <w:spacing w:before="0" w:after="283"/>
              <w:jc w:val="start"/>
              <w:rPr/>
            </w:pPr>
            <w:r>
              <w:rPr/>
              <w:t xml:space="preserve">30 </w:t>
            </w:r>
          </w:p>
        </w:tc>
        <w:tc>
          <w:tcPr>
            <w:tcW w:w="1231" w:type="dxa"/>
            <w:tcBorders/>
            <w:vAlign w:val="center"/>
          </w:tcPr>
          <w:p>
            <w:pPr>
              <w:pStyle w:val="TableContents"/>
              <w:bidi w:val="0"/>
              <w:spacing w:before="0" w:after="283"/>
              <w:jc w:val="start"/>
              <w:rPr/>
            </w:pPr>
            <w:r>
              <w:rPr/>
              <w:t xml:space="preserve">-13% </w:t>
            </w:r>
          </w:p>
        </w:tc>
      </w:tr>
      <w:tr>
        <w:trPr/>
        <w:tc>
          <w:tcPr>
            <w:tcW w:w="1636" w:type="dxa"/>
            <w:tcBorders/>
            <w:vAlign w:val="center"/>
          </w:tcPr>
          <w:p>
            <w:pPr>
              <w:pStyle w:val="TableContents"/>
              <w:bidi w:val="0"/>
              <w:spacing w:before="0" w:after="283"/>
              <w:jc w:val="start"/>
              <w:rPr/>
            </w:pPr>
            <w:r>
              <w:rPr/>
              <w:t xml:space="preserve">Ginter et al. (1979) </w:t>
            </w:r>
          </w:p>
        </w:tc>
        <w:tc>
          <w:tcPr>
            <w:tcW w:w="901" w:type="dxa"/>
            <w:tcBorders/>
            <w:vAlign w:val="center"/>
          </w:tcPr>
          <w:p>
            <w:pPr>
              <w:pStyle w:val="TableContents"/>
              <w:bidi w:val="0"/>
              <w:jc w:val="start"/>
              <w:rPr/>
            </w:pPr>
            <w:r>
              <w:rPr/>
              <w:t xml:space="preserve">21 </w:t>
            </w:r>
          </w:p>
          <w:p>
            <w:pPr>
              <w:pStyle w:val="TableContents"/>
              <w:bidi w:val="0"/>
              <w:spacing w:before="0" w:after="283"/>
              <w:jc w:val="start"/>
              <w:rPr/>
            </w:pPr>
            <w:r>
              <w:rPr/>
              <w:t xml:space="preserve">11 </w:t>
            </w:r>
          </w:p>
        </w:tc>
        <w:tc>
          <w:tcPr>
            <w:tcW w:w="661" w:type="dxa"/>
            <w:tcBorders/>
            <w:vAlign w:val="center"/>
          </w:tcPr>
          <w:p>
            <w:pPr>
              <w:pStyle w:val="TableContents"/>
              <w:bidi w:val="0"/>
              <w:jc w:val="start"/>
              <w:rPr/>
            </w:pPr>
            <w:r>
              <w:rPr/>
              <w:t xml:space="preserve">6 </w:t>
            </w:r>
          </w:p>
          <w:p>
            <w:pPr>
              <w:pStyle w:val="TableContents"/>
              <w:bidi w:val="0"/>
              <w:spacing w:before="0" w:after="283"/>
              <w:jc w:val="start"/>
              <w:rPr/>
            </w:pPr>
            <w:r>
              <w:rPr/>
              <w:t xml:space="preserve">6 </w:t>
            </w:r>
          </w:p>
        </w:tc>
        <w:tc>
          <w:tcPr>
            <w:tcW w:w="1171" w:type="dxa"/>
            <w:tcBorders/>
            <w:vAlign w:val="center"/>
          </w:tcPr>
          <w:p>
            <w:pPr>
              <w:pStyle w:val="TableContents"/>
              <w:bidi w:val="0"/>
              <w:jc w:val="start"/>
              <w:rPr/>
            </w:pPr>
            <w:r>
              <w:rPr/>
              <w:t xml:space="preserve">Self-served </w:t>
            </w:r>
          </w:p>
          <w:p>
            <w:pPr>
              <w:pStyle w:val="TableContents"/>
              <w:bidi w:val="0"/>
              <w:spacing w:before="0" w:after="283"/>
              <w:jc w:val="start"/>
              <w:rPr/>
            </w:pPr>
            <w:r>
              <w:rPr/>
              <w:t xml:space="preserve">Self-served </w:t>
            </w:r>
          </w:p>
        </w:tc>
        <w:tc>
          <w:tcPr>
            <w:tcW w:w="886" w:type="dxa"/>
            <w:tcBorders/>
            <w:vAlign w:val="center"/>
          </w:tcPr>
          <w:p>
            <w:pPr>
              <w:pStyle w:val="TableContents"/>
              <w:bidi w:val="0"/>
              <w:jc w:val="start"/>
              <w:rPr/>
            </w:pPr>
            <w:r>
              <w:rPr/>
              <w:t xml:space="preserve">15 </w:t>
            </w:r>
          </w:p>
          <w:p>
            <w:pPr>
              <w:pStyle w:val="TableContents"/>
              <w:bidi w:val="0"/>
              <w:spacing w:before="0" w:after="283"/>
              <w:jc w:val="start"/>
              <w:rPr/>
            </w:pPr>
            <w:r>
              <w:rPr/>
              <w:t xml:space="preserve">15 </w:t>
            </w:r>
          </w:p>
        </w:tc>
        <w:tc>
          <w:tcPr>
            <w:tcW w:w="1231" w:type="dxa"/>
            <w:tcBorders/>
            <w:vAlign w:val="center"/>
          </w:tcPr>
          <w:p>
            <w:pPr>
              <w:pStyle w:val="TableContents"/>
              <w:bidi w:val="0"/>
              <w:jc w:val="start"/>
              <w:rPr/>
            </w:pPr>
            <w:r>
              <w:rPr/>
              <w:t xml:space="preserve">-9% </w:t>
            </w:r>
          </w:p>
          <w:p>
            <w:pPr>
              <w:pStyle w:val="TableContents"/>
              <w:bidi w:val="0"/>
              <w:spacing w:before="0" w:after="283"/>
              <w:jc w:val="start"/>
              <w:rPr/>
            </w:pPr>
            <w:r>
              <w:rPr/>
              <w:t xml:space="preserve">-19% </w:t>
            </w:r>
          </w:p>
        </w:tc>
      </w:tr>
      <w:tr>
        <w:trPr/>
        <w:tc>
          <w:tcPr>
            <w:tcW w:w="1636" w:type="dxa"/>
            <w:tcBorders/>
            <w:vAlign w:val="center"/>
          </w:tcPr>
          <w:p>
            <w:pPr>
              <w:pStyle w:val="TableContents"/>
              <w:bidi w:val="0"/>
              <w:spacing w:before="0" w:after="283"/>
              <w:jc w:val="start"/>
              <w:rPr/>
            </w:pPr>
            <w:r>
              <w:rPr/>
              <w:t xml:space="preserve">Stasse-Wolthuis et al. (1980) </w:t>
            </w:r>
          </w:p>
        </w:tc>
        <w:tc>
          <w:tcPr>
            <w:tcW w:w="901" w:type="dxa"/>
            <w:tcBorders/>
            <w:vAlign w:val="center"/>
          </w:tcPr>
          <w:p>
            <w:pPr>
              <w:pStyle w:val="TableContents"/>
              <w:bidi w:val="0"/>
              <w:spacing w:before="0" w:after="283"/>
              <w:jc w:val="start"/>
              <w:rPr/>
            </w:pPr>
            <w:r>
              <w:rPr/>
              <w:t xml:space="preserve">62 </w:t>
            </w:r>
          </w:p>
        </w:tc>
        <w:tc>
          <w:tcPr>
            <w:tcW w:w="661" w:type="dxa"/>
            <w:tcBorders/>
            <w:vAlign w:val="center"/>
          </w:tcPr>
          <w:p>
            <w:pPr>
              <w:pStyle w:val="TableContents"/>
              <w:bidi w:val="0"/>
              <w:spacing w:before="0" w:after="283"/>
              <w:jc w:val="start"/>
              <w:rPr/>
            </w:pPr>
            <w:r>
              <w:rPr/>
              <w:t xml:space="preserve">5 </w:t>
            </w:r>
          </w:p>
        </w:tc>
        <w:tc>
          <w:tcPr>
            <w:tcW w:w="1171" w:type="dxa"/>
            <w:tcBorders/>
            <w:vAlign w:val="center"/>
          </w:tcPr>
          <w:p>
            <w:pPr>
              <w:pStyle w:val="TableContents"/>
              <w:bidi w:val="0"/>
              <w:spacing w:before="0" w:after="283"/>
              <w:jc w:val="start"/>
              <w:rPr/>
            </w:pPr>
            <w:r>
              <w:rPr/>
              <w:t xml:space="preserve">Controlled </w:t>
            </w:r>
          </w:p>
        </w:tc>
        <w:tc>
          <w:tcPr>
            <w:tcW w:w="886" w:type="dxa"/>
            <w:tcBorders/>
            <w:vAlign w:val="center"/>
          </w:tcPr>
          <w:p>
            <w:pPr>
              <w:pStyle w:val="TableContents"/>
              <w:bidi w:val="0"/>
              <w:spacing w:before="0" w:after="283"/>
              <w:jc w:val="start"/>
              <w:rPr/>
            </w:pPr>
            <w:r>
              <w:rPr/>
              <w:t xml:space="preserve">15 </w:t>
            </w:r>
          </w:p>
        </w:tc>
        <w:tc>
          <w:tcPr>
            <w:tcW w:w="1231" w:type="dxa"/>
            <w:tcBorders/>
            <w:vAlign w:val="center"/>
          </w:tcPr>
          <w:p>
            <w:pPr>
              <w:pStyle w:val="TableContents"/>
              <w:bidi w:val="0"/>
              <w:spacing w:before="0" w:after="283"/>
              <w:jc w:val="start"/>
              <w:rPr/>
            </w:pPr>
            <w:r>
              <w:rPr/>
              <w:t xml:space="preserve">-10% </w:t>
            </w:r>
          </w:p>
        </w:tc>
      </w:tr>
      <w:tr>
        <w:trPr/>
        <w:tc>
          <w:tcPr>
            <w:tcW w:w="1636" w:type="dxa"/>
            <w:tcBorders/>
            <w:vAlign w:val="center"/>
          </w:tcPr>
          <w:p>
            <w:pPr>
              <w:pStyle w:val="TableContents"/>
              <w:bidi w:val="0"/>
              <w:spacing w:before="0" w:after="283"/>
              <w:jc w:val="start"/>
              <w:rPr/>
            </w:pPr>
            <w:r>
              <w:rPr/>
              <w:t xml:space="preserve">Nakamura et al. (1982) </w:t>
            </w:r>
          </w:p>
        </w:tc>
        <w:tc>
          <w:tcPr>
            <w:tcW w:w="901" w:type="dxa"/>
            <w:tcBorders/>
            <w:vAlign w:val="center"/>
          </w:tcPr>
          <w:p>
            <w:pPr>
              <w:pStyle w:val="TableContents"/>
              <w:bidi w:val="0"/>
              <w:spacing w:before="0" w:after="283"/>
              <w:jc w:val="start"/>
              <w:rPr/>
            </w:pPr>
            <w:r>
              <w:rPr/>
              <w:t xml:space="preserve">12 </w:t>
            </w:r>
          </w:p>
        </w:tc>
        <w:tc>
          <w:tcPr>
            <w:tcW w:w="661" w:type="dxa"/>
            <w:tcBorders/>
            <w:vAlign w:val="center"/>
          </w:tcPr>
          <w:p>
            <w:pPr>
              <w:pStyle w:val="TableContents"/>
              <w:bidi w:val="0"/>
              <w:spacing w:before="0" w:after="283"/>
              <w:jc w:val="start"/>
              <w:rPr/>
            </w:pPr>
            <w:r>
              <w:rPr/>
              <w:t xml:space="preserve">2 </w:t>
            </w:r>
          </w:p>
        </w:tc>
        <w:tc>
          <w:tcPr>
            <w:tcW w:w="1171" w:type="dxa"/>
            <w:tcBorders/>
            <w:vAlign w:val="center"/>
          </w:tcPr>
          <w:p>
            <w:pPr>
              <w:pStyle w:val="TableContents"/>
              <w:bidi w:val="0"/>
              <w:spacing w:before="0" w:after="283"/>
              <w:jc w:val="start"/>
              <w:rPr/>
            </w:pPr>
            <w:r>
              <w:rPr/>
              <w:t xml:space="preserve">? </w:t>
            </w:r>
          </w:p>
        </w:tc>
        <w:tc>
          <w:tcPr>
            <w:tcW w:w="886" w:type="dxa"/>
            <w:tcBorders/>
            <w:vAlign w:val="center"/>
          </w:tcPr>
          <w:p>
            <w:pPr>
              <w:pStyle w:val="TableContents"/>
              <w:bidi w:val="0"/>
              <w:spacing w:before="0" w:after="283"/>
              <w:jc w:val="start"/>
              <w:rPr/>
            </w:pPr>
            <w:r>
              <w:rPr/>
              <w:t xml:space="preserve">9 </w:t>
            </w:r>
          </w:p>
        </w:tc>
        <w:tc>
          <w:tcPr>
            <w:tcW w:w="1231" w:type="dxa"/>
            <w:tcBorders/>
            <w:vAlign w:val="center"/>
          </w:tcPr>
          <w:p>
            <w:pPr>
              <w:pStyle w:val="TableContents"/>
              <w:bidi w:val="0"/>
              <w:jc w:val="start"/>
              <w:rPr/>
            </w:pPr>
            <w:r>
              <w:rPr/>
              <w:t xml:space="preserve">-16% </w:t>
            </w:r>
          </w:p>
          <w:p>
            <w:pPr>
              <w:pStyle w:val="TableContents"/>
              <w:bidi w:val="0"/>
              <w:spacing w:before="0" w:after="283"/>
              <w:jc w:val="start"/>
              <w:rPr/>
            </w:pPr>
            <w:r>
              <w:rPr/>
              <w:t xml:space="preserve">-18% </w:t>
            </w:r>
          </w:p>
        </w:tc>
      </w:tr>
      <w:tr>
        <w:trPr/>
        <w:tc>
          <w:tcPr>
            <w:tcW w:w="1636" w:type="dxa"/>
            <w:tcBorders/>
            <w:vAlign w:val="center"/>
          </w:tcPr>
          <w:p>
            <w:pPr>
              <w:pStyle w:val="TableContents"/>
              <w:bidi w:val="0"/>
              <w:spacing w:before="0" w:after="283"/>
              <w:jc w:val="start"/>
              <w:rPr/>
            </w:pPr>
            <w:r>
              <w:rPr/>
              <w:t xml:space="preserve">Judd et al. (1982) </w:t>
            </w:r>
          </w:p>
        </w:tc>
        <w:tc>
          <w:tcPr>
            <w:tcW w:w="901" w:type="dxa"/>
            <w:tcBorders/>
            <w:vAlign w:val="center"/>
          </w:tcPr>
          <w:p>
            <w:pPr>
              <w:pStyle w:val="TableContents"/>
              <w:bidi w:val="0"/>
              <w:jc w:val="start"/>
              <w:rPr/>
            </w:pPr>
            <w:r>
              <w:rPr/>
              <w:t xml:space="preserve">10 </w:t>
            </w:r>
          </w:p>
          <w:p>
            <w:pPr>
              <w:pStyle w:val="TableContents"/>
              <w:bidi w:val="0"/>
              <w:spacing w:before="0" w:after="283"/>
              <w:jc w:val="start"/>
              <w:rPr/>
            </w:pPr>
            <w:r>
              <w:rPr/>
              <w:t xml:space="preserve">10 </w:t>
            </w:r>
          </w:p>
        </w:tc>
        <w:tc>
          <w:tcPr>
            <w:tcW w:w="661" w:type="dxa"/>
            <w:tcBorders/>
            <w:vAlign w:val="center"/>
          </w:tcPr>
          <w:p>
            <w:pPr>
              <w:pStyle w:val="TableContents"/>
              <w:bidi w:val="0"/>
              <w:jc w:val="start"/>
              <w:rPr/>
            </w:pPr>
            <w:r>
              <w:rPr/>
              <w:t xml:space="preserve">3 </w:t>
            </w:r>
          </w:p>
          <w:p>
            <w:pPr>
              <w:pStyle w:val="TableContents"/>
              <w:bidi w:val="0"/>
              <w:spacing w:before="0" w:after="283"/>
              <w:jc w:val="start"/>
              <w:rPr/>
            </w:pPr>
            <w:r>
              <w:rPr/>
              <w:t xml:space="preserve">3 </w:t>
            </w:r>
          </w:p>
        </w:tc>
        <w:tc>
          <w:tcPr>
            <w:tcW w:w="1171" w:type="dxa"/>
            <w:tcBorders/>
            <w:vAlign w:val="center"/>
          </w:tcPr>
          <w:p>
            <w:pPr>
              <w:pStyle w:val="TableContents"/>
              <w:bidi w:val="0"/>
              <w:jc w:val="start"/>
              <w:rPr/>
            </w:pPr>
            <w:r>
              <w:rPr/>
              <w:t xml:space="preserve">Self-served </w:t>
            </w:r>
          </w:p>
          <w:p>
            <w:pPr>
              <w:pStyle w:val="TableContents"/>
              <w:bidi w:val="0"/>
              <w:spacing w:before="0" w:after="283"/>
              <w:jc w:val="start"/>
              <w:rPr/>
            </w:pPr>
            <w:r>
              <w:rPr/>
              <w:t xml:space="preserve">Self-served </w:t>
            </w:r>
          </w:p>
        </w:tc>
        <w:tc>
          <w:tcPr>
            <w:tcW w:w="886" w:type="dxa"/>
            <w:tcBorders/>
            <w:vAlign w:val="center"/>
          </w:tcPr>
          <w:p>
            <w:pPr>
              <w:pStyle w:val="TableContents"/>
              <w:bidi w:val="0"/>
              <w:jc w:val="start"/>
              <w:rPr/>
            </w:pPr>
            <w:r>
              <w:rPr/>
              <w:t xml:space="preserve">15 </w:t>
            </w:r>
          </w:p>
          <w:p>
            <w:pPr>
              <w:pStyle w:val="TableContents"/>
              <w:bidi w:val="0"/>
              <w:spacing w:before="0" w:after="283"/>
              <w:jc w:val="start"/>
              <w:rPr/>
            </w:pPr>
            <w:r>
              <w:rPr/>
              <w:t xml:space="preserve">15 </w:t>
            </w:r>
          </w:p>
        </w:tc>
        <w:tc>
          <w:tcPr>
            <w:tcW w:w="1231" w:type="dxa"/>
            <w:tcBorders/>
            <w:vAlign w:val="center"/>
          </w:tcPr>
          <w:p>
            <w:pPr>
              <w:pStyle w:val="TableContents"/>
              <w:bidi w:val="0"/>
              <w:jc w:val="start"/>
              <w:rPr/>
            </w:pPr>
            <w:r>
              <w:rPr/>
              <w:t xml:space="preserve">-16% </w:t>
            </w:r>
          </w:p>
          <w:p>
            <w:pPr>
              <w:pStyle w:val="TableContents"/>
              <w:bidi w:val="0"/>
              <w:spacing w:before="0" w:after="283"/>
              <w:jc w:val="start"/>
              <w:rPr/>
            </w:pPr>
            <w:r>
              <w:rPr/>
              <w:t xml:space="preserve">-18% </w:t>
            </w:r>
          </w:p>
        </w:tc>
      </w:tr>
      <w:tr>
        <w:trPr/>
        <w:tc>
          <w:tcPr>
            <w:tcW w:w="1636" w:type="dxa"/>
            <w:tcBorders/>
            <w:vAlign w:val="center"/>
          </w:tcPr>
          <w:p>
            <w:pPr>
              <w:pStyle w:val="TableContents"/>
              <w:bidi w:val="0"/>
              <w:spacing w:before="0" w:after="283"/>
              <w:jc w:val="start"/>
              <w:rPr/>
            </w:pPr>
            <w:r>
              <w:rPr/>
              <w:t xml:space="preserve">Challen et al. (1983) </w:t>
            </w:r>
          </w:p>
        </w:tc>
        <w:tc>
          <w:tcPr>
            <w:tcW w:w="901" w:type="dxa"/>
            <w:tcBorders/>
            <w:vAlign w:val="center"/>
          </w:tcPr>
          <w:p>
            <w:pPr>
              <w:pStyle w:val="TableContents"/>
              <w:bidi w:val="0"/>
              <w:spacing w:before="0" w:after="283"/>
              <w:jc w:val="start"/>
              <w:rPr/>
            </w:pPr>
            <w:r>
              <w:rPr/>
              <w:t xml:space="preserve">6 </w:t>
            </w:r>
          </w:p>
        </w:tc>
        <w:tc>
          <w:tcPr>
            <w:tcW w:w="661" w:type="dxa"/>
            <w:tcBorders/>
            <w:vAlign w:val="center"/>
          </w:tcPr>
          <w:p>
            <w:pPr>
              <w:pStyle w:val="TableContents"/>
              <w:bidi w:val="0"/>
              <w:spacing w:before="0" w:after="283"/>
              <w:jc w:val="start"/>
              <w:rPr/>
            </w:pPr>
            <w:r>
              <w:rPr/>
              <w:t xml:space="preserve">3 </w:t>
            </w:r>
          </w:p>
        </w:tc>
        <w:tc>
          <w:tcPr>
            <w:tcW w:w="1171" w:type="dxa"/>
            <w:tcBorders/>
            <w:vAlign w:val="center"/>
          </w:tcPr>
          <w:p>
            <w:pPr>
              <w:pStyle w:val="TableContents"/>
              <w:bidi w:val="0"/>
              <w:spacing w:before="0" w:after="283"/>
              <w:jc w:val="start"/>
              <w:rPr/>
            </w:pPr>
            <w:r>
              <w:rPr/>
              <w:t xml:space="preserve">Controlled </w:t>
            </w:r>
          </w:p>
        </w:tc>
        <w:tc>
          <w:tcPr>
            <w:tcW w:w="886" w:type="dxa"/>
            <w:tcBorders/>
            <w:vAlign w:val="center"/>
          </w:tcPr>
          <w:p>
            <w:pPr>
              <w:pStyle w:val="TableContents"/>
              <w:bidi w:val="0"/>
              <w:spacing w:before="0" w:after="283"/>
              <w:jc w:val="start"/>
              <w:rPr/>
            </w:pPr>
            <w:r>
              <w:rPr/>
              <w:t xml:space="preserve">36 </w:t>
            </w:r>
          </w:p>
        </w:tc>
        <w:tc>
          <w:tcPr>
            <w:tcW w:w="1231" w:type="dxa"/>
            <w:tcBorders/>
            <w:vAlign w:val="center"/>
          </w:tcPr>
          <w:p>
            <w:pPr>
              <w:pStyle w:val="TableContents"/>
              <w:bidi w:val="0"/>
              <w:spacing w:before="0" w:after="283"/>
              <w:jc w:val="start"/>
              <w:rPr/>
            </w:pPr>
            <w:r>
              <w:rPr/>
              <w:t xml:space="preserve">-10% </w:t>
            </w:r>
          </w:p>
        </w:tc>
      </w:tr>
      <w:tr>
        <w:trPr/>
        <w:tc>
          <w:tcPr>
            <w:tcW w:w="1636" w:type="dxa"/>
            <w:tcBorders/>
            <w:vAlign w:val="center"/>
          </w:tcPr>
          <w:p>
            <w:pPr>
              <w:pStyle w:val="TableContents"/>
              <w:bidi w:val="0"/>
              <w:spacing w:before="0" w:after="283"/>
              <w:jc w:val="start"/>
              <w:rPr/>
            </w:pPr>
            <w:r>
              <w:rPr/>
              <w:t xml:space="preserve">Cerda et al. (1988) </w:t>
            </w:r>
          </w:p>
        </w:tc>
        <w:tc>
          <w:tcPr>
            <w:tcW w:w="901" w:type="dxa"/>
            <w:tcBorders/>
            <w:vAlign w:val="center"/>
          </w:tcPr>
          <w:p>
            <w:pPr>
              <w:pStyle w:val="TableContents"/>
              <w:bidi w:val="0"/>
              <w:spacing w:before="0" w:after="283"/>
              <w:jc w:val="start"/>
              <w:rPr/>
            </w:pPr>
            <w:r>
              <w:rPr/>
              <w:t xml:space="preserve">27 </w:t>
            </w:r>
          </w:p>
        </w:tc>
        <w:tc>
          <w:tcPr>
            <w:tcW w:w="661" w:type="dxa"/>
            <w:tcBorders/>
            <w:vAlign w:val="center"/>
          </w:tcPr>
          <w:p>
            <w:pPr>
              <w:pStyle w:val="TableContents"/>
              <w:bidi w:val="0"/>
              <w:spacing w:before="0" w:after="283"/>
              <w:jc w:val="start"/>
              <w:rPr/>
            </w:pPr>
            <w:r>
              <w:rPr/>
              <w:t xml:space="preserve">4 </w:t>
            </w:r>
          </w:p>
        </w:tc>
        <w:tc>
          <w:tcPr>
            <w:tcW w:w="1171" w:type="dxa"/>
            <w:tcBorders/>
            <w:vAlign w:val="center"/>
          </w:tcPr>
          <w:p>
            <w:pPr>
              <w:pStyle w:val="TableContents"/>
              <w:bidi w:val="0"/>
              <w:spacing w:before="0" w:after="283"/>
              <w:jc w:val="start"/>
              <w:rPr/>
            </w:pPr>
            <w:r>
              <w:rPr/>
              <w:t xml:space="preserve">Self-served </w:t>
            </w:r>
          </w:p>
        </w:tc>
        <w:tc>
          <w:tcPr>
            <w:tcW w:w="886" w:type="dxa"/>
            <w:tcBorders/>
            <w:vAlign w:val="center"/>
          </w:tcPr>
          <w:p>
            <w:pPr>
              <w:pStyle w:val="TableContents"/>
              <w:bidi w:val="0"/>
              <w:spacing w:before="0" w:after="283"/>
              <w:jc w:val="start"/>
              <w:rPr/>
            </w:pPr>
            <w:r>
              <w:rPr/>
              <w:t xml:space="preserve">15 </w:t>
            </w:r>
          </w:p>
        </w:tc>
        <w:tc>
          <w:tcPr>
            <w:tcW w:w="1231" w:type="dxa"/>
            <w:tcBorders/>
            <w:vAlign w:val="center"/>
          </w:tcPr>
          <w:p>
            <w:pPr>
              <w:pStyle w:val="TableContents"/>
              <w:bidi w:val="0"/>
              <w:spacing w:before="0" w:after="283"/>
              <w:jc w:val="start"/>
              <w:rPr/>
            </w:pPr>
            <w:r>
              <w:rPr/>
              <w:t xml:space="preserve">-15% </w:t>
            </w:r>
          </w:p>
        </w:tc>
      </w:tr>
    </w:tbl>
    <w:p>
      <w:pPr>
        <w:pStyle w:val="TextBody"/>
        <w:bidi w:val="0"/>
        <w:spacing w:before="0" w:after="283"/>
        <w:jc w:val="start"/>
        <w:rPr/>
      </w:pPr>
      <w:r>
        <w:rPr/>
        <w:t xml:space="preserve">A recent crossover study involves hyper-cholesterolemic persons receiving either 15g/day pectin (from citrus or apple, with different DE level) or cellulose with food for 4 weeks. The result showed that (F Brouns, 2012): </w:t>
      </w:r>
    </w:p>
    <w:p>
      <w:pPr>
        <w:pStyle w:val="TextBody"/>
        <w:numPr>
          <w:ilvl w:val="0"/>
          <w:numId w:val="3"/>
        </w:numPr>
        <w:tabs>
          <w:tab w:val="clear" w:pos="1134"/>
          <w:tab w:val="left" w:pos="709" w:leader="none"/>
        </w:tabs>
        <w:bidi w:val="0"/>
        <w:spacing w:before="0" w:after="0"/>
        <w:ind w:start="709" w:hanging="283"/>
        <w:jc w:val="start"/>
        <w:rPr/>
      </w:pPr>
      <w:r>
        <w:rPr/>
        <w:t xml:space="preserve">For relative low-density lipoprotein (LDL) cholesterol (LDL-C), the effect of citrus pectin and apple pectin are the same, while the pectin with higher level of DE level has better hypocholesterolemic effect. Orange pump fiber worked worse than citrus and apple pectin. </w:t>
      </w:r>
    </w:p>
    <w:p>
      <w:pPr>
        <w:pStyle w:val="TextBody"/>
        <w:numPr>
          <w:ilvl w:val="0"/>
          <w:numId w:val="3"/>
        </w:numPr>
        <w:tabs>
          <w:tab w:val="clear" w:pos="1134"/>
          <w:tab w:val="left" w:pos="709" w:leader="none"/>
        </w:tabs>
        <w:bidi w:val="0"/>
        <w:spacing w:before="0" w:after="0"/>
        <w:ind w:start="709" w:hanging="283"/>
        <w:jc w:val="start"/>
        <w:rPr/>
      </w:pPr>
      <w:r>
        <w:rPr/>
        <w:t xml:space="preserve">The pectin with higher molecular weight works better than the pectin with low molecular weight. </w:t>
      </w:r>
    </w:p>
    <w:p>
      <w:pPr>
        <w:pStyle w:val="TextBody"/>
        <w:numPr>
          <w:ilvl w:val="0"/>
          <w:numId w:val="3"/>
        </w:numPr>
        <w:tabs>
          <w:tab w:val="clear" w:pos="1134"/>
          <w:tab w:val="left" w:pos="709" w:leader="none"/>
        </w:tabs>
        <w:bidi w:val="0"/>
        <w:ind w:start="709" w:hanging="283"/>
        <w:jc w:val="start"/>
        <w:rPr/>
      </w:pPr>
      <w:r>
        <w:rPr/>
        <w:t xml:space="preserve">In the subsequent experiment providing 6g pectin/day for three weeks, citrus DE-70 and high MW pectin DE-70 reduced LDL-C 6-7% compared with control group. </w:t>
      </w:r>
    </w:p>
    <w:p>
      <w:pPr>
        <w:pStyle w:val="TextBody"/>
        <w:bidi w:val="0"/>
        <w:jc w:val="start"/>
        <w:rPr/>
      </w:pPr>
      <w:r>
        <w:rPr/>
        <w:t xml:space="preserve">The viscous, gelatinizing citrus pectin alter bile acid enterohepatic circulation; enhance cholesterol excretion into stool (Martinez de Prado et al., 1981; Ide and Horii, 1989; Ide et al., 1990; Fernandez et al., 1994; Terpstra et al., 2002). High-viscosity pectin generally diminishes total cholesterol (TC) by 3-7% in humans. Pectin increases gut viscosity, then reduce the re-absorption of bile acids, increase synthesis of bile acids from cholesterol, thereby reduces circulating blood cholesterol (F Brouns, 2012). The high-viscosity pectin might also interfere with the formation of micelles and/or lower the diffusion rate of bile acid and cholesterol-containing micelles through the bolus, consequently reduce the uptake of cholesterol and bile acids. Many study suggested the favourable effect of pectin on lipids(B. R. Sharma, 2006). </w:t>
      </w:r>
    </w:p>
    <w:p>
      <w:pPr>
        <w:pStyle w:val="TextBody"/>
        <w:bidi w:val="0"/>
        <w:spacing w:before="0" w:after="283"/>
        <w:jc w:val="start"/>
        <w:rPr/>
      </w:pPr>
      <w:r>
        <w:rPr/>
        <w:t xml:space="preserve">The source and type of pectin (degree of esterification and molecular weight) affect the effect of lowing cholesterol. In the study by Brouns </w:t>
      </w:r>
      <w:r>
        <w:rPr>
          <w:rStyle w:val="Emphasis"/>
        </w:rPr>
        <w:t xml:space="preserve">et al. </w:t>
      </w:r>
      <w:r>
        <w:rPr/>
        <w:t xml:space="preserve">, it is proven that increased DE and MW help promote the efficacy of lowering of human cholesterol level, and even a high dose of pectin with low DE and MW won’t have significant effect. The EFSA pectin cholesterol-lowering claim should require a minimum level of characterization, including DE and MW (F Brouns, 2012). Even though pectin cannot be directly absorbed by human, it can be fermented by the microorganisms in the large intestine and result in the formation of short chain fatty acid, which could be absorbed and metabolized in the colonic mucosa, liver or peripheral tissue (Kay, 1982). </w:t>
      </w:r>
    </w:p>
    <w:p>
      <w:pPr>
        <w:pStyle w:val="TextBody"/>
        <w:bidi w:val="0"/>
        <w:spacing w:before="0" w:after="283"/>
        <w:jc w:val="start"/>
        <w:rPr/>
      </w:pPr>
      <w:r>
        <w:rPr/>
        <w:t xml:space="preserve">Effective doses </w:t>
      </w:r>
    </w:p>
    <w:p>
      <w:pPr>
        <w:pStyle w:val="TextBody"/>
        <w:bidi w:val="0"/>
        <w:spacing w:before="0" w:after="283"/>
        <w:jc w:val="start"/>
        <w:rPr/>
      </w:pPr>
      <w:r>
        <w:rPr/>
        <w:t xml:space="preserve">Experiments indicate that the dose of pectin needed for different people to achieve the lowering of serum cholesterol level is not the same (Grant H. Palmer, June 1966). The intake of 15 grams of pectin per day for three weeks resulted in a mean 13% diminishment of plasma cholesterol levels. A dose of 40 to 50 grams of pectin per day significantly reduced the cholesterol level in both normolipidemic and hyperlipidemic subjects(B. R. Sharma, 2006). In addition with the claim of consume 6g/day pectin to achieve hypochelosterolemic effect, ESFA (2010) also suggest that the consumption of pectin with meals help reduce the blood glucose after meal and the effect can be achieved with at least 10g pectin per meal ((EFSA), 2011). </w:t>
      </w:r>
    </w:p>
    <w:p>
      <w:pPr>
        <w:pStyle w:val="TextBody"/>
        <w:bidi w:val="0"/>
        <w:spacing w:before="0" w:after="283"/>
        <w:jc w:val="start"/>
        <w:rPr/>
      </w:pPr>
      <w:r>
        <w:rPr/>
        <w:t xml:space="preserve">The hypocholesterolemic effect of pectin combined with apple polyphenols has also been reported (EVA N. JENSEN and DRAGSTED, 2009). There might be taste concerns and potential gastrointestinal disturbance if more than 6g pectin/day was ingested (F Brouns, 2012). At least 6 grams of pectin are supposed to be consumed to achieve hypochelesterolemic effect, and this amount is correspond to 7~8 medium-sized apples (EVA N. JENSEN and DRAGSTED, 2009). </w:t>
      </w:r>
    </w:p>
    <w:p>
      <w:pPr>
        <w:pStyle w:val="TextBody"/>
        <w:bidi w:val="0"/>
        <w:spacing w:before="0" w:after="283"/>
        <w:jc w:val="start"/>
        <w:rPr/>
      </w:pPr>
      <w:r>
        <w:rPr/>
        <w:t xml:space="preserve">Some critique suggested that most of the cholesterol lowering effect of pectin is showed in a cholesterol rich, atherogenic diet (A. H. M. Terpstra, 2002). The effect of cholesterol lowing efficiency in regular diet remained quite questionable. </w:t>
      </w:r>
    </w:p>
    <w:p>
      <w:pPr>
        <w:pStyle w:val="TextBody"/>
        <w:bidi w:val="0"/>
        <w:spacing w:before="0" w:after="283"/>
        <w:jc w:val="start"/>
        <w:rPr/>
      </w:pPr>
      <w:r>
        <w:rPr/>
        <w:t xml:space="preserve">Conclusion </w:t>
      </w:r>
    </w:p>
    <w:p>
      <w:pPr>
        <w:pStyle w:val="TextBody"/>
        <w:bidi w:val="0"/>
        <w:spacing w:before="0" w:after="283"/>
        <w:jc w:val="start"/>
        <w:rPr/>
      </w:pPr>
      <w:r>
        <w:rPr/>
        <w:t xml:space="preserve">Viscous pectin can reduce the cholesterol level of animals and human by increasing synthesis and excretion of bile acid and reducing re-absorption of cholesterol. The hypochelosterolemic effect of pectin depends on the dose of pectin, diet composition, and source and physical and chemical property of pectin itself (including viscosity, molecular weight, and degrees of esterification). The effective daily intake of pectin is at least 6g/per according to EFSA, however a minimum level of characterization should be required to achieve the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https://assignbuster.com/pectin-reduces-blood-cholesterol-level/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Pectin reduces blood cholesterol level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ctin-reduces-blood-cholesterol-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Pectin reduces blood cholesterol level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Pectin reduces blood cholesterol level</dc:title>
  <dc:subject>Others;</dc:subject>
  <dc:creator>AssignBuster</dc:creator>
  <cp:keywords/>
  <dc:description>Cholesterol lowering in humans There are not many clinical studies of pectin cholesterol lowing compared with animal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