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Association of il-12β rs3212227 and psoriasis</w:t>
        </w:r>
      </w:hyperlink>
      <w:bookmarkEnd w:id="0"/>
    </w:p>
    <w:p>
      <w:r>
        <w:br w:type="page"/>
      </w:r>
    </w:p>
    <w:p>
      <w:pPr>
        <w:pStyle w:val="TextBody"/>
        <w:bidi w:val="0"/>
        <w:jc w:val="start"/>
        <w:rPr/>
      </w:pPr>
      <w:r>
        <w:rPr/>
        <w:t xml:space="preserve">Title: Associations between IL-12β rs3212227 polymorphism and susceptibility to psoriasis: a meta-analysis </w:t>
      </w:r>
    </w:p>
    <w:p>
      <w:pPr>
        <w:pStyle w:val="TextBody"/>
        <w:bidi w:val="0"/>
        <w:spacing w:before="0" w:after="283"/>
        <w:jc w:val="start"/>
        <w:rPr/>
      </w:pPr>
      <w:r>
        <w:rPr/>
        <w:t xml:space="preserve">Runningtitle: Association ofIL-12β rs3212227 and psoriasis </w:t>
      </w:r>
    </w:p>
    <w:p>
      <w:pPr>
        <w:pStyle w:val="TextBody"/>
        <w:bidi w:val="0"/>
        <w:spacing w:before="0" w:after="283"/>
        <w:jc w:val="start"/>
        <w:rPr/>
      </w:pPr>
      <w:r>
        <w:rPr/>
        <w:t xml:space="preserve">Highlights: </w:t>
      </w:r>
    </w:p>
    <w:p>
      <w:pPr>
        <w:pStyle w:val="TextBody"/>
        <w:numPr>
          <w:ilvl w:val="0"/>
          <w:numId w:val="2"/>
        </w:numPr>
        <w:tabs>
          <w:tab w:val="clear" w:pos="1134"/>
          <w:tab w:val="left" w:pos="709" w:leader="none"/>
        </w:tabs>
        <w:bidi w:val="0"/>
        <w:spacing w:before="0" w:after="0"/>
        <w:ind w:start="709" w:hanging="283"/>
        <w:jc w:val="start"/>
        <w:rPr/>
      </w:pPr>
      <w:r>
        <w:rPr/>
        <w:t xml:space="preserve">We performed a Meta-analysis to assess the association ofIL-12β rs3212227 and psoriasis. </w:t>
      </w:r>
    </w:p>
    <w:p>
      <w:pPr>
        <w:pStyle w:val="TextBody"/>
        <w:numPr>
          <w:ilvl w:val="0"/>
          <w:numId w:val="2"/>
        </w:numPr>
        <w:tabs>
          <w:tab w:val="clear" w:pos="1134"/>
          <w:tab w:val="left" w:pos="709" w:leader="none"/>
        </w:tabs>
        <w:bidi w:val="0"/>
        <w:spacing w:before="0" w:after="0"/>
        <w:ind w:start="709" w:hanging="283"/>
        <w:jc w:val="start"/>
        <w:rPr/>
      </w:pPr>
      <w:r>
        <w:rPr/>
        <w:t xml:space="preserve">Association between IL-12β rs3212227 and psoriasis was proved. </w:t>
      </w:r>
    </w:p>
    <w:p>
      <w:pPr>
        <w:pStyle w:val="TextBody"/>
        <w:numPr>
          <w:ilvl w:val="0"/>
          <w:numId w:val="2"/>
        </w:numPr>
        <w:tabs>
          <w:tab w:val="clear" w:pos="1134"/>
          <w:tab w:val="left" w:pos="709" w:leader="none"/>
        </w:tabs>
        <w:bidi w:val="0"/>
        <w:ind w:start="709" w:hanging="283"/>
        <w:jc w:val="start"/>
        <w:rPr/>
      </w:pPr>
      <w:r>
        <w:rPr/>
        <w:t xml:space="preserve">IL-12β rs3212227 is the susceptibility gene of psoriasis in Asian and European. </w:t>
      </w:r>
    </w:p>
    <w:p>
      <w:pPr>
        <w:pStyle w:val="TextBody"/>
        <w:bidi w:val="0"/>
        <w:jc w:val="start"/>
        <w:rPr/>
      </w:pPr>
      <w:r>
        <w:rPr/>
        <w:t xml:space="preserve">Abstract </w:t>
      </w:r>
    </w:p>
    <w:p>
      <w:pPr>
        <w:pStyle w:val="TextBody"/>
        <w:bidi w:val="0"/>
        <w:spacing w:before="0" w:after="283"/>
        <w:jc w:val="start"/>
        <w:rPr/>
      </w:pPr>
      <w:r>
        <w:rPr>
          <w:rStyle w:val="Emphasis"/>
        </w:rPr>
        <w:t xml:space="preserve">Purpose </w:t>
      </w:r>
      <w:r>
        <w:rPr/>
        <w:t xml:space="preserve">The aim of this meta-analysis was to explore whether IL-12β rs3212227 polymorphism confer susceptibility to psoriasis. </w:t>
      </w:r>
    </w:p>
    <w:p>
      <w:pPr>
        <w:pStyle w:val="TextBody"/>
        <w:bidi w:val="0"/>
        <w:spacing w:before="0" w:after="283"/>
        <w:jc w:val="start"/>
        <w:rPr/>
      </w:pPr>
      <w:r>
        <w:rPr>
          <w:rStyle w:val="Emphasis"/>
        </w:rPr>
        <w:t xml:space="preserve">Methods </w:t>
      </w:r>
      <w:r>
        <w:rPr/>
        <w:t xml:space="preserve">We performed a computerized literature search before December 2013. Review Manger 5. 2 was used to perform meta-analysis. The meta-analysis was conducted on the associations between IL-12β rs3212227 polymorphism and the risk of psoriasis. </w:t>
      </w:r>
    </w:p>
    <w:p>
      <w:pPr>
        <w:pStyle w:val="TextBody"/>
        <w:bidi w:val="0"/>
        <w:spacing w:before="0" w:after="283"/>
        <w:jc w:val="start"/>
        <w:rPr/>
      </w:pPr>
      <w:r>
        <w:rPr>
          <w:rStyle w:val="Emphasis"/>
        </w:rPr>
        <w:t xml:space="preserve">Results </w:t>
      </w:r>
      <w:r>
        <w:rPr/>
        <w:t xml:space="preserve">Nine studies involving 17, 620 subjects were included in this meta-analysis. Significant association was found between psoriasis and IL-12β rs3212227 allele in all study subjects (C vs. A: OR= 0. 68, 95%CI = 0. 64-0. 72, P &lt;0. 01; CC+AC vs. AA: OR= 0. 61, 95%CI = 0. 53-0. 71, P &lt;0. 01; CC vs. AC+AA: OR= 0. 53, 95%CI = 0. 43-0. 66, P &lt;0. 01; CC vs. AA: OR= 0. 46, 95%CI = 0. 36-0. 57, P &lt;0. 01; AC vs. AA: OR= 0. 65, 95%CI = 0. 59-0. 71, P &lt;0. 01). Subgroup analysis showed that the association of IL-12β rs3212227 polymorphism with psoriasis existed in Asian and European. </w:t>
      </w:r>
    </w:p>
    <w:p>
      <w:pPr>
        <w:pStyle w:val="TextBody"/>
        <w:bidi w:val="0"/>
        <w:spacing w:before="0" w:after="283"/>
        <w:jc w:val="start"/>
        <w:rPr/>
      </w:pPr>
      <w:r>
        <w:rPr>
          <w:rStyle w:val="Emphasis"/>
        </w:rPr>
        <w:t xml:space="preserve">Conclusions </w:t>
      </w:r>
      <w:r>
        <w:rPr/>
        <w:t xml:space="preserve">This meta-analysis demonstrated that the IL-12β rs3212227 polymorphism is associated with the risk of psoriasis. </w:t>
      </w:r>
    </w:p>
    <w:p>
      <w:pPr>
        <w:pStyle w:val="TextBody"/>
        <w:bidi w:val="0"/>
        <w:spacing w:before="0" w:after="283"/>
        <w:jc w:val="start"/>
        <w:rPr/>
      </w:pPr>
      <w:r>
        <w:rPr/>
        <w:t xml:space="preserve">KeywordsIL-12β, polymorphism, psoriasis, Meta-analysis, susceptibility gene </w:t>
      </w:r>
    </w:p>
    <w:p>
      <w:pPr>
        <w:pStyle w:val="TextBody"/>
        <w:bidi w:val="0"/>
        <w:spacing w:before="0" w:after="283"/>
        <w:jc w:val="start"/>
        <w:rPr/>
      </w:pPr>
      <w:r>
        <w:rPr/>
        <w:t xml:space="preserve">Introduction </w:t>
      </w:r>
    </w:p>
    <w:p>
      <w:pPr>
        <w:pStyle w:val="TextBody"/>
        <w:bidi w:val="0"/>
        <w:spacing w:before="0" w:after="283"/>
        <w:jc w:val="start"/>
        <w:rPr/>
      </w:pPr>
      <w:r>
        <w:rPr/>
        <w:t xml:space="preserve">Psoriasis is an immune-mediated chronic inflammatory skin disease, characterized by epidermal hyperplasia and infiltration of leukocytes into the dermis and epidermis [1]. An recent systematic review [2] reported that the prevalence in children ranged from 0% (Taiwan) to 2. 1% (Italy), and in adults it varied from 0. 91%(United States) to 8. 5% (Norway). In children, the incidence estimate reported (United States) was 40. 8/100, 000person-years. In adults, it varied from 78. 9/100, 000 person-years (United States) to 230/100, 000 person-years (Italy). </w:t>
      </w:r>
    </w:p>
    <w:p>
      <w:pPr>
        <w:pStyle w:val="TextBody"/>
        <w:bidi w:val="0"/>
        <w:spacing w:before="0" w:after="283"/>
        <w:jc w:val="start"/>
        <w:rPr/>
      </w:pPr>
      <w:r>
        <w:rPr/>
        <w:t xml:space="preserve">It reported that psoriasis occurred by the interaction between genetic and environmental factors [3] and the immune mechanism plays an essential role in the chronic development and progression of psoriasis [4]. However, until now the exact etiology and pathogenesis of psoriasis remain unclear [5]. Currently, the study of psoriasis susceptibility genes is a hot research direction. </w:t>
      </w:r>
    </w:p>
    <w:p>
      <w:pPr>
        <w:pStyle w:val="TextBody"/>
        <w:bidi w:val="0"/>
        <w:spacing w:before="0" w:after="283"/>
        <w:jc w:val="start"/>
        <w:rPr/>
      </w:pPr>
      <w:r>
        <w:rPr/>
        <w:t xml:space="preserve">IL-12 is a kind of key cytokines involved in T cell immune [6]. It confirmed thatIL -12 is closely related to the pathogenesis of psoriasis . rs3212227 is a SNP in 3’ untranslated region [7]. Tsunemi et al. [8] reported the association of rs3212227 with risk of psoriasis. Capon et al. reported that there was significant association between rs3212227 and psoriasis. It indicated that IL-12β rs3212227 may be one of the psoriasis susceptibility genes. The aim of this meta-analysis was to determine whether IL-12β rs3212227 polymorphisms confer susceptibility to psoriasis.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Literature search </w:t>
      </w:r>
    </w:p>
    <w:p>
      <w:pPr>
        <w:pStyle w:val="TextBody"/>
        <w:bidi w:val="0"/>
        <w:spacing w:before="0" w:after="283"/>
        <w:jc w:val="start"/>
        <w:rPr/>
      </w:pPr>
      <w:r>
        <w:rPr/>
        <w:t xml:space="preserve">A literature search was conducted using PubMed, Medline and Embase up to December 2013. We screened all fields by combining the term “ psoriasis” or “ psoriatic”, “ interleukin-12β” or “ IL-12β” and “ genetic polymorphism” or “ genetic variant”. </w:t>
      </w:r>
    </w:p>
    <w:p>
      <w:pPr>
        <w:pStyle w:val="TextBody"/>
        <w:bidi w:val="0"/>
        <w:spacing w:before="0" w:after="283"/>
        <w:jc w:val="start"/>
        <w:rPr/>
      </w:pPr>
      <w:r>
        <w:rPr>
          <w:rStyle w:val="Emphasis"/>
        </w:rPr>
        <w:t xml:space="preserve">Selection criteria </w:t>
      </w:r>
    </w:p>
    <w:p>
      <w:pPr>
        <w:pStyle w:val="TextBody"/>
        <w:bidi w:val="0"/>
        <w:spacing w:before="0" w:after="283"/>
        <w:jc w:val="start"/>
        <w:rPr/>
      </w:pPr>
      <w:r>
        <w:rPr/>
        <w:t xml:space="preserve">Literatures were included in this meta-analysis if they met each of the following criteria: (1) case-control studies between patients with psoriasis (experimental group) and hospital-based or population-based individuals (control group), (2) published English literatures involving studies of association between IL-12β genetic polymorphism and psoriasis, and (3) having the data of genotype and frequency of allelein the experimental and control group or obtaining by computing. Studies were excluded when genotype distribution in the control group did not meet the test of hardy-weinberg equilibrium. </w:t>
      </w:r>
    </w:p>
    <w:p>
      <w:pPr>
        <w:pStyle w:val="TextBody"/>
        <w:bidi w:val="0"/>
        <w:spacing w:before="0" w:after="283"/>
        <w:jc w:val="start"/>
        <w:rPr/>
      </w:pPr>
      <w:r>
        <w:rPr>
          <w:rStyle w:val="Emphasis"/>
        </w:rPr>
        <w:t xml:space="preserve">Data extraction and quality assessment </w:t>
      </w:r>
    </w:p>
    <w:p>
      <w:pPr>
        <w:pStyle w:val="TextBody"/>
        <w:bidi w:val="0"/>
        <w:spacing w:before="0" w:after="283"/>
        <w:jc w:val="start"/>
        <w:rPr/>
      </w:pPr>
      <w:r>
        <w:rPr/>
        <w:t xml:space="preserve">Data extraction was conducted by two reviewers independently. Disagreements between reviewers were resolved by discussion with a third investigator. From the included studies, the following data were abstracted: the first author name, year of publication, country or race, genotype distribution inthe experimental and control group, gender ratio and mean age of the subjects in the experimental and control group. In this meta-analysis, we applied the criteria based on Clark et al [9] to assess the quality of included studies. On the basis of their scores, the included studies were classified into three levels: low quality (0-4), moderate quality (5-7)and high quality (8-10).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Test of hardy-weinberg equilibrium [10] was conducted to ensure the quality of the included literatures before running meta-analysis. Review Manger 5. 2 was used to perform meta-analysis. Odds ratios (ORs) with 95 % confidence intervals (CIs) were calculated under five genetic models: the allele model (C vs. A), the dominant model (CC+AC vs. AA), the recessive model (CC vs. AA+AC), the homozygous/additive model (CC vs. AA) and the heterozygous model (CC vs. AC). Heterogeneity was evaluated using by the chi-square-based Q statistic test [11] and I </w:t>
      </w:r>
      <w:r>
        <w:rPr>
          <w:position w:val="8"/>
          <w:sz w:val="19"/>
        </w:rPr>
        <w:t xml:space="preserve">2 </w:t>
      </w:r>
      <w:r>
        <w:rPr/>
        <w:t xml:space="preserve">test with α &lt;0. 05. Fixed-effect models were used to pool the data unless statistical heterogeneity was significant, in which case a random effect model was used [12]. Subgroup analysis was performed by the difference of ethnicity. The sensitivity analysis was conducted to see the stability of pooled results by sequential omission of individual studies [13]. Funnel plots were used to assess the possibility of publication bias.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Literature search </w:t>
      </w:r>
    </w:p>
    <w:p>
      <w:pPr>
        <w:pStyle w:val="TextBody"/>
        <w:bidi w:val="0"/>
        <w:spacing w:before="0" w:after="283"/>
        <w:jc w:val="start"/>
        <w:rPr/>
      </w:pPr>
      <w:r>
        <w:rPr/>
        <w:t xml:space="preserve">In total, 114 potentially relevant studies were identified and screened after an initial search. Among them, 98 articles were excluded after screening based on abstracts or titles. Five out of these 16 remaining literatures were excluded because of duplicate publication. Then 2 studies were removing because there was no available data. As a result, 9 literatures were included in this meta-analysis. A flow diagram of the search process is shown in Fig. 1. </w:t>
      </w:r>
    </w:p>
    <w:p>
      <w:pPr>
        <w:pStyle w:val="TextBody"/>
        <w:bidi w:val="0"/>
        <w:spacing w:before="0" w:after="283"/>
        <w:jc w:val="start"/>
        <w:rPr/>
      </w:pPr>
      <w:r>
        <w:rPr>
          <w:rStyle w:val="Emphasis"/>
        </w:rPr>
        <w:t xml:space="preserve">Characteristics of included studies </w:t>
      </w:r>
    </w:p>
    <w:p>
      <w:pPr>
        <w:pStyle w:val="TextBody"/>
        <w:bidi w:val="0"/>
        <w:spacing w:before="0" w:after="283"/>
        <w:jc w:val="start"/>
        <w:rPr/>
      </w:pPr>
      <w:r>
        <w:rPr/>
        <w:t xml:space="preserve">The characteristics of 9 included studies [8, 14-21] were summarized in Table 1. The publication years of these studies ranged from year 2002 to 2013. A total of 17, 620 subjects were involved in this meta-analysis, including 6, 520 psoriasis patients and 11, 150 healthy controls. The race of these subjects was Caucasian or Asian except one study in which mix racial subjects were studied. None of the SNPs had genotype frequencies that deviated significantly from Hardy–Weinberg equilibrium in these included studies. All quality scores of included studies were from 5 to 8. It showed that the included studies were moderate–high quality literatures in this meta-analysis. </w:t>
      </w:r>
    </w:p>
    <w:p>
      <w:pPr>
        <w:pStyle w:val="TextBody"/>
        <w:bidi w:val="0"/>
        <w:spacing w:before="0" w:after="283"/>
        <w:jc w:val="start"/>
        <w:rPr/>
      </w:pPr>
      <w:r>
        <w:rPr>
          <w:rStyle w:val="Emphasis"/>
        </w:rPr>
        <w:t xml:space="preserve">Meta-analysis of the association between IL-12β rs3212227 polymorphism and psoriasis </w:t>
      </w:r>
    </w:p>
    <w:p>
      <w:pPr>
        <w:pStyle w:val="TextBody"/>
        <w:bidi w:val="0"/>
        <w:spacing w:before="0" w:after="283"/>
        <w:jc w:val="start"/>
        <w:rPr/>
      </w:pPr>
      <w:r>
        <w:rPr/>
        <w:t xml:space="preserve">Summary results of this meta-analysis forthe association betweenIL-12β rs3212227 polymorphism and psoriasis were shown in Table 2. For the genotype model of CC+AC vs. A, no heterogeneity (I </w:t>
      </w:r>
      <w:r>
        <w:rPr>
          <w:position w:val="8"/>
          <w:sz w:val="19"/>
        </w:rPr>
        <w:t xml:space="preserve">2 </w:t>
      </w:r>
      <w:r>
        <w:rPr/>
        <w:t xml:space="preserve">= 57%, P= 0. 02) existed in the included literatures, so the random effects model was used. For the other genotype model, fixed effects model was usedbecause of significant heterogeneity among studies. </w:t>
      </w:r>
    </w:p>
    <w:p>
      <w:pPr>
        <w:pStyle w:val="TextBody"/>
        <w:bidi w:val="0"/>
        <w:spacing w:before="0" w:after="283"/>
        <w:jc w:val="start"/>
        <w:rPr/>
      </w:pPr>
      <w:r>
        <w:rPr/>
        <w:t xml:space="preserve">The meta-analysis results showed the highly significant association of these alleles with psoriasis(C vs. A: OR= 0. 68, 95%CI = 0. 64-0. 72, P &lt;0. 01, Fig. 1; CC+AC vs. AA: OR= 0. 61, 95%CI = 0. 53-0. 71, P &lt;0. 01; CC vs. AC+AA: OR= 0. 53, 95%CI = 0. 43-0. 66, P &lt;0. 01; CC vs. AA: OR= 0. 46, 95%CI = 0. 36-0. 57, P &lt;0. 01; AC vs. AA: OR= 0. 65, 95%CI = 0. 59-0. 71, P &lt;0. 01). Further subgroup analysis indicated that there were significant association between IL-12β rs3212227 polymorphism and psoriasis in European group (C vs. A: OR= 0. 66, 95%CI = 0. 61-0. 70, P &lt;0. 01; CC+AC vs. AA: OR= 0. 62, 95%CI = 0. 52-0. 73, P &lt;0. 01; CC vs. AC+AA: OR= 0. 48, 95%CI = 0. 36-0. 64, P &lt;0. 01; CC vs. AA: OR= 0. 42, 95%CI = 0. 31-0. 56, P &lt;0. 01; AC vs. AA: OR= 0. 62, 95%CI = 0. 56-0. 69, P &lt;0. 01) and Asian group (C vs. A: OR= 0. 71, 95%CI = 0. 62-0. 82, P &lt;0. 01; CC+AC vs. AA: OR= 0. 45, 95%CI = 0. 25-0. 82, P &lt;0. 01; CC vs. AC+AA: OR= 0. 56, 95%CI = 0. 36-0. 85, P &lt;0. 01; CC vs. AA: OR= 0. 43, 95%CI = 0. 26-0. 70, P &lt;0. 01; AC vs. AA: OR= 0. 66, 95%CI = 0. 44-0. 98, P &lt;0. 01) (Table 2). </w:t>
      </w:r>
    </w:p>
    <w:p>
      <w:pPr>
        <w:pStyle w:val="TextBody"/>
        <w:bidi w:val="0"/>
        <w:spacing w:before="0" w:after="283"/>
        <w:jc w:val="start"/>
        <w:rPr/>
      </w:pPr>
      <w:r>
        <w:rPr>
          <w:rStyle w:val="Emphasis"/>
        </w:rPr>
        <w:t xml:space="preserve">Sensitivity analysis and publication bias </w:t>
      </w:r>
    </w:p>
    <w:p>
      <w:pPr>
        <w:pStyle w:val="TextBody"/>
        <w:bidi w:val="0"/>
        <w:spacing w:before="0" w:after="283"/>
        <w:jc w:val="start"/>
        <w:rPr/>
      </w:pPr>
      <w:r>
        <w:rPr/>
        <w:t xml:space="preserve">Sensitivity analysis by dropping one study at a time did not indicate the dominant influence of any single study. The funnel plot showed that there was no obvious publication bias was shown in the result. </w:t>
      </w:r>
    </w:p>
    <w:p>
      <w:pPr>
        <w:pStyle w:val="TextBody"/>
        <w:bidi w:val="0"/>
        <w:spacing w:before="0" w:after="283"/>
        <w:jc w:val="start"/>
        <w:rPr/>
      </w:pPr>
      <w:r>
        <w:rPr/>
        <w:t xml:space="preserve">Discussion </w:t>
      </w:r>
    </w:p>
    <w:p>
      <w:pPr>
        <w:pStyle w:val="TextBody"/>
        <w:bidi w:val="0"/>
        <w:spacing w:before="0" w:after="283"/>
        <w:jc w:val="start"/>
        <w:rPr/>
      </w:pPr>
      <w:r>
        <w:rPr/>
        <w:t xml:space="preserve">In this meta-analysis, we combined data from published studies to evaluate genetic associations betweenpolymorphisms ofIL-12β rs3212227 and psoriasis. Our meta-analysis of IL-12β rs3212227 showed significant association of the IL-12β rs3212227 polymorphisms with the risk of psoriasis. Another meta-analysis [22] reported the association ofIL-12β rs3212227 and psoriasis. Compared with that one, there were three the advantages of this meta-analysis. The first one was that this meta-analysis had been more recently (2013) conducted to synthesize evidence concerning the association of IL-12β rs3212227 and psoriasis. Second, furthermore subgroup analysis byethnicity was performed and showed that the results did not varies with the difference of ethnicity. Third, the publication meta-analysis reported no heterogeneity among the included studies. Nevertheless, in this meta-analysis, heterogeneity was found among the included studies in the genotype model of CC+AC vs. AA. Exploring the sources of heterogeneity was useful to study the association of IL-12βrs3212227 and psoriasis. Thus, further well-designed studies need to focus on exploring the sources of heterogeneity. </w:t>
      </w:r>
    </w:p>
    <w:p>
      <w:pPr>
        <w:pStyle w:val="TextBody"/>
        <w:bidi w:val="0"/>
        <w:spacing w:before="0" w:after="283"/>
        <w:jc w:val="start"/>
        <w:rPr/>
      </w:pPr>
      <w:r>
        <w:rPr/>
        <w:t xml:space="preserve">In the publication studies, it demonstrated that IL-12 was closely related to the pathogenesis of psoriasis. It reported that the mRNA [23]and protein expression [24] of IL-12 p40 was increased in the psoriatic skin. Efficacy was obtained by the drug therapy on immunization targets [25]. The SNP, rs3212227, is located in IL-12β gene [26]. The expression of IL-12 p40 was changed after import homozygous gene fragment into cell [27]. It indicated that the change of allele might cause change in the expression of IL-12p40 and affect the function of IL-12p40. Then a series of immune responses were triggered. Finally, these events would lead to the onset of psoriasis. These findings prove that IL-12β rs3212227 may be the susceptibility gene of psoriasis. The result of this meta-analysis provided further evidence of the association betweenthe polymorphisms of IL-12β rs3212227 and psoriasis. </w:t>
      </w:r>
    </w:p>
    <w:p>
      <w:pPr>
        <w:pStyle w:val="TextBody"/>
        <w:bidi w:val="0"/>
        <w:spacing w:before="0" w:after="283"/>
        <w:jc w:val="start"/>
        <w:rPr/>
      </w:pPr>
      <w:r>
        <w:rPr/>
        <w:t xml:space="preserve">It reported that the occurrence of psoriasis varied according to geographic region [2]. And the family genes are difference in each region. In this meta-analysis, subgroup analysis was performed by the difference of ethnicity. However, the subjects did not contain all the population. Thus, it proved that rs3212227 is the susceptibility gene of psoriasis in Asian and European. Further studies need to be done to study the influence of ethnicity. </w:t>
      </w:r>
    </w:p>
    <w:p>
      <w:pPr>
        <w:pStyle w:val="TextBody"/>
        <w:bidi w:val="0"/>
        <w:spacing w:before="0" w:after="283"/>
        <w:jc w:val="start"/>
        <w:rPr/>
      </w:pPr>
      <w:r>
        <w:rPr/>
        <w:t xml:space="preserve">Present study has some limitations that require specific consideration. The first one is that there is no enough data of age and sex to concern the influence of these confounding factors for the result of this meta-analysis. Second limitation is that the type of psoriasis cannot be analyzed because of the limited information. Furthermore, there are many other possible susceptibility genes, but only one of them was selected to do this meta-analysis.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we determined that there was significant association between the polymorphisms of IL-12β rs3212227 and psoriasis. IL-12β rs3212227 has a pivotal role in the pathogenesis of psoriasis. For researching the pathogenesis of psoriasis, all the susceptibility genes as well as the interaction among them need to be studied in the future. </w:t>
      </w:r>
    </w:p>
    <w:p>
      <w:pPr>
        <w:pStyle w:val="Heading2"/>
        <w:bidi w:val="0"/>
        <w:jc w:val="start"/>
        <w:rPr/>
      </w:pPr>
      <w:r>
        <w:rPr/>
        <w:t xml:space="preserve">References </w:t>
      </w:r>
    </w:p>
    <w:p>
      <w:pPr>
        <w:pStyle w:val="TextBody"/>
        <w:bidi w:val="0"/>
        <w:spacing w:before="0" w:after="283"/>
        <w:jc w:val="start"/>
        <w:rPr/>
      </w:pPr>
      <w:r>
        <w:rPr/>
        <w:t xml:space="preserve">1. Bromley SK, Larson RP, Ziegler SF, Luster AD: IL-23 Induces Atopic Dermatitis-Like Inflammation Instead of Psoriasis-Like Inflammation in CCR2-Deficient Mice. PloS one 2013, 8(3): e58196. </w:t>
      </w:r>
    </w:p>
    <w:p>
      <w:pPr>
        <w:pStyle w:val="TextBody"/>
        <w:bidi w:val="0"/>
        <w:spacing w:before="0" w:after="283"/>
        <w:jc w:val="start"/>
        <w:rPr/>
      </w:pPr>
      <w:r>
        <w:rPr/>
        <w:t xml:space="preserve">2. Parisi R, Symmons DP, Griffiths CE, Ashcroft DM: Global epidemiology of psoriasis: a systematic review of incidence and prevalence. Journal of Investigative Dermatology 2012. </w:t>
      </w:r>
    </w:p>
    <w:p>
      <w:pPr>
        <w:pStyle w:val="TextBody"/>
        <w:bidi w:val="0"/>
        <w:spacing w:before="0" w:after="283"/>
        <w:jc w:val="start"/>
        <w:rPr/>
      </w:pPr>
      <w:r>
        <w:rPr/>
        <w:t xml:space="preserve">3. Naldi L: Risk Factors for Psoriasis. Current Dermatology Reports 2013, 2(1): 58-65. </w:t>
      </w:r>
    </w:p>
    <w:p>
      <w:pPr>
        <w:pStyle w:val="TextBody"/>
        <w:bidi w:val="0"/>
        <w:spacing w:before="0" w:after="283"/>
        <w:jc w:val="start"/>
        <w:rPr/>
      </w:pPr>
      <w:r>
        <w:rPr/>
        <w:t xml:space="preserve">4. Gudjonsson J, Johnston A, Sigmundsdottir H, Valdimarsson H: Immunopathogenic mechanisms in psoriasis. Clinical &amp; Experimental Immunology 2004, 135(1): 1-8. </w:t>
      </w:r>
    </w:p>
    <w:p>
      <w:pPr>
        <w:pStyle w:val="TextBody"/>
        <w:bidi w:val="0"/>
        <w:spacing w:before="0" w:after="283"/>
        <w:jc w:val="start"/>
        <w:rPr/>
      </w:pPr>
      <w:r>
        <w:rPr/>
        <w:t xml:space="preserve">5. Baweja P, Agarwal B, Sharma V, Alex A: Oxidant and antioxidant status in patients with Psoriasis. Indian J Applied &amp; Pure Bio Vol 2013, 28(2): 143-148. </w:t>
      </w:r>
    </w:p>
    <w:p>
      <w:pPr>
        <w:pStyle w:val="TextBody"/>
        <w:bidi w:val="0"/>
        <w:spacing w:before="0" w:after="283"/>
        <w:jc w:val="start"/>
        <w:rPr/>
      </w:pPr>
      <w:r>
        <w:rPr/>
        <w:t xml:space="preserve">6. Lamont AG, Adorini L: IL-12: a key cytokine in immune regulation. Immunology today 1996, 17(5): 214-217. </w:t>
      </w:r>
    </w:p>
    <w:p>
      <w:pPr>
        <w:pStyle w:val="TextBody"/>
        <w:bidi w:val="0"/>
        <w:spacing w:before="0" w:after="283"/>
        <w:jc w:val="start"/>
        <w:rPr/>
      </w:pPr>
      <w:r>
        <w:rPr/>
        <w:t xml:space="preserve">7. Hong K, Chu A, Lúdvíksson BR, Berg EL, Ehrhardt RO: IL-12, independently of IFN-γ, plays a crucial role in the pathogenesis of a murine psoriasis-like skin disorder. The Journal of Immunology 1999, 162(12): 7480-7491. </w:t>
      </w:r>
    </w:p>
    <w:p>
      <w:pPr>
        <w:pStyle w:val="TextBody"/>
        <w:bidi w:val="0"/>
        <w:spacing w:before="0" w:after="283"/>
        <w:jc w:val="start"/>
        <w:rPr/>
      </w:pPr>
      <w:r>
        <w:rPr/>
        <w:t xml:space="preserve">8. Tsunemi Y, Saeki H, Nakamura K, Sekiya T, Hirai K, Fujita H, Asano N, Kishimoto M, Tanida Y, Kakinuma T: Interleukin-12 p40 gene (IL12B) 3′-untranslated region polymorphism is associated with susceptibility to atopic dermatitis and psoriasis vulgaris. Journal of dermatological science 2002, 30(2): 161-166. </w:t>
      </w:r>
    </w:p>
    <w:p>
      <w:pPr>
        <w:pStyle w:val="TextBody"/>
        <w:bidi w:val="0"/>
        <w:spacing w:before="0" w:after="283"/>
        <w:jc w:val="start"/>
        <w:rPr/>
      </w:pPr>
      <w:r>
        <w:rPr/>
        <w:t xml:space="preserve">9. Clark MF, Baudouin SV: A systematic review of the quality of genetic association studies in human sepsis. Intensive care medicine 2006, 32(11): 1706-1712. </w:t>
      </w:r>
    </w:p>
    <w:p>
      <w:pPr>
        <w:pStyle w:val="TextBody"/>
        <w:bidi w:val="0"/>
        <w:spacing w:before="0" w:after="283"/>
        <w:jc w:val="start"/>
        <w:rPr/>
      </w:pPr>
      <w:r>
        <w:rPr/>
        <w:t xml:space="preserve">10. Ledwina T, Gnot S: Testing for Hardy-Weinberg equilibrium. Biometrics 1980: 161-165. </w:t>
      </w:r>
    </w:p>
    <w:p>
      <w:pPr>
        <w:pStyle w:val="TextBody"/>
        <w:bidi w:val="0"/>
        <w:spacing w:before="0" w:after="283"/>
        <w:jc w:val="start"/>
        <w:rPr/>
      </w:pPr>
      <w:r>
        <w:rPr/>
        <w:t xml:space="preserve">11. Lau J, Ioannidis JP, Schmid CH: Quantitative synthesis in systematic reviews. Annals of internal medicine 1997, 127(9): 820-826. </w:t>
      </w:r>
    </w:p>
    <w:p>
      <w:pPr>
        <w:pStyle w:val="TextBody"/>
        <w:bidi w:val="0"/>
        <w:spacing w:before="0" w:after="283"/>
        <w:jc w:val="start"/>
        <w:rPr/>
      </w:pPr>
      <w:r>
        <w:rPr/>
        <w:t xml:space="preserve">12. Feng R-N, Zhao C, Sun C-H, Li Y: Meta-analysis of TNF 308 G/A polymorphism and type 2 diabetes mellitus. PloS one 2011, 6(4): e18480. </w:t>
      </w:r>
    </w:p>
    <w:p>
      <w:pPr>
        <w:pStyle w:val="TextBody"/>
        <w:bidi w:val="0"/>
        <w:spacing w:before="0" w:after="283"/>
        <w:jc w:val="start"/>
        <w:rPr/>
      </w:pPr>
      <w:r>
        <w:rPr/>
        <w:t xml:space="preserve">13. Liu ZH DY, Xiu LC, Pan HY, Liang Y, Zhong SQ, Liu WW, Rao SQ, Kong DL: A meta-analysis of the association between TNF-alpha -308G&gt; A polymorphism and type 2 diabetes mellitus in Han Chinese population. PloS one 2013, 8(3): e59421. </w:t>
      </w:r>
    </w:p>
    <w:p>
      <w:pPr>
        <w:pStyle w:val="TextBody"/>
        <w:bidi w:val="0"/>
        <w:spacing w:before="0" w:after="283"/>
        <w:jc w:val="start"/>
        <w:rPr/>
      </w:pPr>
      <w:r>
        <w:rPr/>
        <w:t xml:space="preserve">14. Capon F, Di Meglio P, Szaub J, Prescott NJ, Dunster C, Baumber L, Timms K, Gutin A, Abkevic V, Burden AD et al: Sequence variants in the genes for the interleukin-23 receptor (IL23R) and its ligand (IL12B) confer protection against psoriasis. Hum Genet 2007, 122(2): 201-206. </w:t>
      </w:r>
    </w:p>
    <w:p>
      <w:pPr>
        <w:pStyle w:val="TextBody"/>
        <w:bidi w:val="0"/>
        <w:spacing w:before="0" w:after="283"/>
        <w:jc w:val="start"/>
        <w:rPr/>
      </w:pPr>
      <w:r>
        <w:rPr/>
        <w:t xml:space="preserve">15. Cargill M, Schrodi SJ, Chang M, Garcia VE, Brandon R, Callis KP, Matsunami N, Ardlie KG, Civello D, Catanese JJ et al: A large-scale genetic association study confirms IL12B and leads to the identification of IL23R as psoriasis-risk genes. American journal of human genetics 2007, 80(2): 273-290. </w:t>
      </w:r>
    </w:p>
    <w:p>
      <w:pPr>
        <w:pStyle w:val="TextBody"/>
        <w:bidi w:val="0"/>
        <w:spacing w:before="0" w:after="283"/>
        <w:jc w:val="start"/>
        <w:rPr/>
      </w:pPr>
      <w:r>
        <w:rPr/>
        <w:t xml:space="preserve">16. Eiris N, Santos-Juanes J, Coto-Segura P, Gomez J, Alvarez V, Morales B, Queiro R, Diaz M, Corao AI, Lopez-Corte K et al: Resequencing of the IL12B gene in psoriasis patients with the rs6887695/rs3212227 risk genotypes. Cytokine 2012, 60(1): 27-29. </w:t>
      </w:r>
    </w:p>
    <w:p>
      <w:pPr>
        <w:pStyle w:val="TextBody"/>
        <w:bidi w:val="0"/>
        <w:spacing w:before="0" w:after="283"/>
        <w:jc w:val="start"/>
        <w:rPr/>
      </w:pPr>
      <w:r>
        <w:rPr/>
        <w:t xml:space="preserve">17. Huffmeier U, Lascorz J, Bohm B, Lohmann J, Wendler J, Mossner R, Reich K, Traupe H, Kurrat W, Burkhardt H et al: Genetic variants of the IL-23R pathway: association with psoriatic arthritis and psoriasis vulgaris, but no specific risk factor for arthritis. The Journal of investigative dermatology 2009, 129(2): 355-358. </w:t>
      </w:r>
    </w:p>
    <w:p>
      <w:pPr>
        <w:pStyle w:val="TextBody"/>
        <w:bidi w:val="0"/>
        <w:spacing w:before="0" w:after="283"/>
        <w:jc w:val="start"/>
        <w:rPr/>
      </w:pPr>
      <w:r>
        <w:rPr/>
        <w:t xml:space="preserve">18. Nair RP, Ruether A, Stuart PE, Jenisch S, Tejasvi T, Hiremagalore R, Schreiber S, Kabelitz D, Lim HW, Voorhees JJ et al: Polymorphisms of the IL12B and IL23R genes are associated with psoriasis. The Journal of investigative dermatology 2008, 128(7): 1653-1661. </w:t>
      </w:r>
    </w:p>
    <w:p>
      <w:pPr>
        <w:pStyle w:val="TextBody"/>
        <w:bidi w:val="0"/>
        <w:spacing w:before="0" w:after="283"/>
        <w:jc w:val="start"/>
        <w:rPr/>
      </w:pPr>
      <w:r>
        <w:rPr/>
        <w:t xml:space="preserve">19. Nair RP, Stuart PE, Kullavanijaya P, Kullavanijaya P, Tejasvi T, Voorhees JJ, Elder JT: Genetic evidence for involvement of the IL23 pathway in Thai psoriatics. Archives of dermatological research 2010, 302(2): 139-143. </w:t>
      </w:r>
    </w:p>
    <w:p>
      <w:pPr>
        <w:pStyle w:val="TextBody"/>
        <w:bidi w:val="0"/>
        <w:spacing w:before="0" w:after="283"/>
        <w:jc w:val="start"/>
        <w:rPr/>
      </w:pPr>
      <w:r>
        <w:rPr/>
        <w:t xml:space="preserve">20. Oka A, Mabuchi T, Ikeda S, Terui T, Haida Y, Ozawa A, Yatsu K, Kulski JK, Inoko H: IL12B and IL23R gene SNPs in Japanese psoriasis. Immunogenetics 2013, 65(11): 823-828. </w:t>
      </w:r>
    </w:p>
    <w:p>
      <w:pPr>
        <w:pStyle w:val="TextBody"/>
        <w:bidi w:val="0"/>
        <w:spacing w:before="0" w:after="283"/>
        <w:jc w:val="start"/>
        <w:rPr/>
      </w:pPr>
      <w:r>
        <w:rPr/>
        <w:t xml:space="preserve">21. Smith RL, Warren RB, Eyre S, Ho P, Ke X, Young HS, Griffiths CEM, Worthington J: Polymorphisms in the IL-12β and IL-23R Genes Are Associated with Psoriasis of Early Onset in a UK Cohort. Journal of Investigative Dermatology 2007, 128(5): 1325-1327. </w:t>
      </w:r>
    </w:p>
    <w:p>
      <w:pPr>
        <w:pStyle w:val="TextBody"/>
        <w:bidi w:val="0"/>
        <w:spacing w:before="0" w:after="283"/>
        <w:jc w:val="start"/>
        <w:rPr/>
      </w:pPr>
      <w:r>
        <w:rPr/>
        <w:t xml:space="preserve">22. Zhu KJ, Zhu CY, Shi G, Fan YM: Meta-analysis of IL12B polymorphisms (rs3212227, rs6887695) with psoriasis and psoriatic arthritis. Rheumatology international 2013, 33(7): 1785-1790. </w:t>
      </w:r>
    </w:p>
    <w:p>
      <w:pPr>
        <w:pStyle w:val="TextBody"/>
        <w:bidi w:val="0"/>
        <w:spacing w:before="0" w:after="283"/>
        <w:jc w:val="start"/>
        <w:rPr/>
      </w:pPr>
      <w:r>
        <w:rPr/>
        <w:t xml:space="preserve">23. Jiqun C, Yating T, Jiawen L, Changzheng H, Zhixiang L, Daofan L: A study on the expression of interleukin (IL)-10 and IL-12 P35, P40 mRNA in the psoriatic lesions. Journal of Tongji Medical University 2001, 21(1): 86-88. </w:t>
      </w:r>
    </w:p>
    <w:p>
      <w:pPr>
        <w:pStyle w:val="TextBody"/>
        <w:bidi w:val="0"/>
        <w:spacing w:before="0" w:after="283"/>
        <w:jc w:val="start"/>
        <w:rPr/>
      </w:pPr>
      <w:r>
        <w:rPr/>
        <w:t xml:space="preserve">24. Yawalkar N, Karlen S, Hunger R, Brand CU, Braathen LR: Expression of interleukin-12 is increased in psoriatic skin. Journal of investigative dermatology 1998, 111(6): 1053-1057. </w:t>
      </w:r>
    </w:p>
    <w:p>
      <w:pPr>
        <w:pStyle w:val="TextBody"/>
        <w:bidi w:val="0"/>
        <w:spacing w:before="0" w:after="283"/>
        <w:jc w:val="start"/>
        <w:rPr/>
      </w:pPr>
      <w:r>
        <w:rPr/>
        <w:t xml:space="preserve">25. O’Neill JL, Kalb RE: Ustekinumab in the therapy of chronic plaque psoriasis. Biologics: targets &amp; therapy 2009, 3: 159. </w:t>
      </w:r>
    </w:p>
    <w:p>
      <w:pPr>
        <w:pStyle w:val="TextBody"/>
        <w:bidi w:val="0"/>
        <w:spacing w:before="0" w:after="283"/>
        <w:jc w:val="start"/>
        <w:rPr/>
      </w:pPr>
      <w:r>
        <w:rPr/>
        <w:t xml:space="preserve">26. Smith RL, Warren RB, Eyre S, Ho P, Ke X, Young HS, Griffiths CE, Worthington J: Polymorphisms in the IL-12β and IL-23R genes are associated with psoriasis of early onset in a UK cohort. Journal of Investigative Dermatology 2007, 128(5): 1325-1327. </w:t>
      </w:r>
    </w:p>
    <w:p>
      <w:pPr>
        <w:pStyle w:val="TextBody"/>
        <w:bidi w:val="0"/>
        <w:spacing w:before="0" w:after="283"/>
        <w:jc w:val="start"/>
        <w:rPr/>
      </w:pPr>
      <w:r>
        <w:rPr/>
        <w:t xml:space="preserve">27. Morahan G, Huang D, Ymer SI, Cancilla MR, Stephen K, Dabadghao P, Werther G, Tait BD, Harrison LC, Colman PG: Linkage disequilibrium of a type 1 diabetes susceptibility locus with a regulatory IL12B allele. Nature genetics 2001, 27(2): 218-221. </w:t>
      </w:r>
    </w:p>
    <w:p>
      <w:pPr>
        <w:pStyle w:val="TextBody"/>
        <w:bidi w:val="0"/>
        <w:spacing w:before="0" w:after="283"/>
        <w:jc w:val="start"/>
        <w:rPr/>
      </w:pPr>
      <w:r>
        <w:rPr/>
        <w:t xml:space="preserve">Table 1Characteristics of included studies. </w:t>
      </w:r>
    </w:p>
    <w:tbl>
      <w:tblPr>
        <w:tblW w:w="11339" w:type="dxa"/>
        <w:jc w:val="start"/>
        <w:tblInd w:w="0" w:type="dxa"/>
        <w:tblLayout w:type="fixed"/>
        <w:tblCellMar>
          <w:top w:w="28" w:type="dxa"/>
          <w:start w:w="28" w:type="dxa"/>
          <w:bottom w:w="28" w:type="dxa"/>
          <w:end w:w="28" w:type="dxa"/>
        </w:tblCellMar>
      </w:tblPr>
      <w:tblGrid>
        <w:gridCol w:w="1556"/>
        <w:gridCol w:w="1124"/>
        <w:gridCol w:w="1042"/>
        <w:gridCol w:w="1162"/>
        <w:gridCol w:w="3081"/>
        <w:gridCol w:w="1100"/>
        <w:gridCol w:w="1106"/>
        <w:gridCol w:w="277"/>
        <w:gridCol w:w="891"/>
      </w:tblGrid>
      <w:tr>
        <w:trPr/>
        <w:tc>
          <w:tcPr>
            <w:tcW w:w="1556" w:type="dxa"/>
            <w:tcBorders/>
            <w:vAlign w:val="center"/>
          </w:tcPr>
          <w:p>
            <w:pPr>
              <w:pStyle w:val="TableContents"/>
              <w:bidi w:val="0"/>
              <w:spacing w:before="0" w:after="283"/>
              <w:jc w:val="start"/>
              <w:rPr/>
            </w:pPr>
            <w:r>
              <w:rPr/>
              <w:t xml:space="preserve">Authors </w:t>
            </w:r>
          </w:p>
        </w:tc>
        <w:tc>
          <w:tcPr>
            <w:tcW w:w="1124" w:type="dxa"/>
            <w:tcBorders/>
            <w:vAlign w:val="center"/>
          </w:tcPr>
          <w:p>
            <w:pPr>
              <w:pStyle w:val="TableContents"/>
              <w:bidi w:val="0"/>
              <w:spacing w:before="0" w:after="283"/>
              <w:jc w:val="start"/>
              <w:rPr/>
            </w:pPr>
            <w:r>
              <w:rPr/>
              <w:t xml:space="preserve">Year </w:t>
            </w:r>
          </w:p>
        </w:tc>
        <w:tc>
          <w:tcPr>
            <w:tcW w:w="1042" w:type="dxa"/>
            <w:tcBorders/>
            <w:vAlign w:val="center"/>
          </w:tcPr>
          <w:p>
            <w:pPr>
              <w:pStyle w:val="TableContents"/>
              <w:bidi w:val="0"/>
              <w:spacing w:before="0" w:after="283"/>
              <w:jc w:val="start"/>
              <w:rPr/>
            </w:pPr>
            <w:r>
              <w:rPr/>
              <w:t xml:space="preserve">Country </w:t>
            </w:r>
          </w:p>
        </w:tc>
        <w:tc>
          <w:tcPr>
            <w:tcW w:w="1162" w:type="dxa"/>
            <w:tcBorders/>
            <w:vAlign w:val="center"/>
          </w:tcPr>
          <w:p>
            <w:pPr>
              <w:pStyle w:val="TableContents"/>
              <w:bidi w:val="0"/>
              <w:spacing w:before="0" w:after="283"/>
              <w:jc w:val="start"/>
              <w:rPr/>
            </w:pPr>
            <w:r>
              <w:rPr/>
              <w:t xml:space="preserve">population </w:t>
            </w:r>
          </w:p>
        </w:tc>
        <w:tc>
          <w:tcPr>
            <w:tcW w:w="3081" w:type="dxa"/>
            <w:tcBorders/>
            <w:vAlign w:val="center"/>
          </w:tcPr>
          <w:p>
            <w:pPr>
              <w:pStyle w:val="TableContents"/>
              <w:bidi w:val="0"/>
              <w:spacing w:before="0" w:after="283"/>
              <w:jc w:val="start"/>
              <w:rPr/>
            </w:pPr>
            <w:r>
              <w:rPr/>
              <w:t xml:space="preserve">Experimental group/control group </w:t>
            </w:r>
          </w:p>
        </w:tc>
        <w:tc>
          <w:tcPr>
            <w:tcW w:w="1100" w:type="dxa"/>
            <w:tcBorders/>
            <w:vAlign w:val="center"/>
          </w:tcPr>
          <w:p>
            <w:pPr>
              <w:pStyle w:val="TableContents"/>
              <w:bidi w:val="0"/>
              <w:spacing w:before="0" w:after="283"/>
              <w:jc w:val="start"/>
              <w:rPr/>
            </w:pPr>
            <w:r>
              <w:rPr/>
              <w:t xml:space="preserve">score </w:t>
            </w:r>
          </w:p>
        </w:tc>
        <w:tc>
          <w:tcPr>
            <w:tcW w:w="1106" w:type="dxa"/>
            <w:tcBorders/>
            <w:vAlign w:val="center"/>
          </w:tcPr>
          <w:p>
            <w:pPr>
              <w:pStyle w:val="TableContents"/>
              <w:bidi w:val="0"/>
              <w:spacing w:before="0" w:after="283"/>
              <w:jc w:val="start"/>
              <w:rPr/>
            </w:pPr>
            <w:r>
              <w:rPr>
                <w:rStyle w:val="Emphasis"/>
              </w:rPr>
              <w:t xml:space="preserve">P </w:t>
            </w:r>
            <w:r>
              <w:rPr>
                <w:rStyle w:val="Emphasis"/>
                <w:position w:val="-2"/>
                <w:sz w:val="19"/>
              </w:rPr>
              <w:t xml:space="preserve">HWE </w:t>
            </w:r>
          </w:p>
        </w:tc>
        <w:tc>
          <w:tcPr>
            <w:tcW w:w="277" w:type="dxa"/>
            <w:tcBorders/>
          </w:tcPr>
          <w:p>
            <w:pPr>
              <w:pStyle w:val="TableContents"/>
              <w:bidi w:val="0"/>
              <w:spacing w:before="0" w:after="283"/>
              <w:jc w:val="start"/>
              <w:rPr>
                <w:sz w:val="4"/>
                <w:szCs w:val="4"/>
              </w:rPr>
            </w:pPr>
            <w:r>
              <w:rPr>
                <w:sz w:val="4"/>
                <w:szCs w:val="4"/>
              </w:rPr>
            </w:r>
          </w:p>
        </w:tc>
        <w:tc>
          <w:tcPr>
            <w:tcW w:w="891" w:type="dxa"/>
            <w:tcBorders/>
          </w:tcPr>
          <w:p>
            <w:pPr>
              <w:pStyle w:val="TableContents"/>
              <w:bidi w:val="0"/>
              <w:spacing w:before="0" w:after="283"/>
              <w:jc w:val="start"/>
              <w:rPr>
                <w:sz w:val="4"/>
                <w:szCs w:val="4"/>
              </w:rPr>
            </w:pPr>
            <w:r>
              <w:rPr>
                <w:sz w:val="4"/>
                <w:szCs w:val="4"/>
              </w:rPr>
            </w:r>
          </w:p>
        </w:tc>
      </w:tr>
      <w:tr>
        <w:trPr/>
        <w:tc>
          <w:tcPr>
            <w:tcW w:w="1556" w:type="dxa"/>
            <w:tcBorders/>
            <w:vAlign w:val="center"/>
          </w:tcPr>
          <w:p>
            <w:pPr>
              <w:pStyle w:val="TableContents"/>
              <w:bidi w:val="0"/>
              <w:spacing w:before="0" w:after="283"/>
              <w:jc w:val="start"/>
              <w:rPr/>
            </w:pPr>
            <w:r>
              <w:rPr/>
              <w:t xml:space="preserve">mareï¼ˆ%ï¼‰ </w:t>
            </w:r>
          </w:p>
        </w:tc>
        <w:tc>
          <w:tcPr>
            <w:tcW w:w="1124" w:type="dxa"/>
            <w:tcBorders/>
            <w:vAlign w:val="center"/>
          </w:tcPr>
          <w:p>
            <w:pPr>
              <w:pStyle w:val="TableContents"/>
              <w:bidi w:val="0"/>
              <w:spacing w:before="0" w:after="283"/>
              <w:jc w:val="start"/>
              <w:rPr/>
            </w:pPr>
            <w:r>
              <w:rPr/>
              <w:t xml:space="preserve">age (years) </w:t>
            </w:r>
          </w:p>
        </w:tc>
        <w:tc>
          <w:tcPr>
            <w:tcW w:w="1042" w:type="dxa"/>
            <w:tcBorders/>
            <w:vAlign w:val="center"/>
          </w:tcPr>
          <w:p>
            <w:pPr>
              <w:pStyle w:val="TableContents"/>
              <w:bidi w:val="0"/>
              <w:spacing w:before="0" w:after="283"/>
              <w:jc w:val="start"/>
              <w:rPr/>
            </w:pPr>
            <w:r>
              <w:rPr/>
              <w:t xml:space="preserve">n </w:t>
            </w:r>
          </w:p>
        </w:tc>
        <w:tc>
          <w:tcPr>
            <w:tcW w:w="6449" w:type="dxa"/>
            <w:gridSpan w:val="4"/>
            <w:tcBorders/>
          </w:tcPr>
          <w:p>
            <w:pPr>
              <w:pStyle w:val="TableContents"/>
              <w:bidi w:val="0"/>
              <w:spacing w:before="0" w:after="283"/>
              <w:jc w:val="start"/>
              <w:rPr>
                <w:sz w:val="4"/>
                <w:szCs w:val="4"/>
              </w:rPr>
            </w:pPr>
            <w:r>
              <w:rPr>
                <w:sz w:val="4"/>
                <w:szCs w:val="4"/>
              </w:rPr>
            </w:r>
          </w:p>
        </w:tc>
        <w:tc>
          <w:tcPr>
            <w:tcW w:w="277" w:type="dxa"/>
            <w:tcBorders/>
          </w:tcPr>
          <w:p>
            <w:pPr>
              <w:pStyle w:val="TableContents"/>
              <w:bidi w:val="0"/>
              <w:spacing w:before="0" w:after="283"/>
              <w:jc w:val="start"/>
              <w:rPr>
                <w:sz w:val="4"/>
                <w:szCs w:val="4"/>
              </w:rPr>
            </w:pPr>
            <w:r>
              <w:rPr>
                <w:sz w:val="4"/>
                <w:szCs w:val="4"/>
              </w:rPr>
            </w:r>
          </w:p>
        </w:tc>
        <w:tc>
          <w:tcPr>
            <w:tcW w:w="891" w:type="dxa"/>
            <w:tcBorders/>
          </w:tcPr>
          <w:p>
            <w:pPr>
              <w:pStyle w:val="TableContents"/>
              <w:bidi w:val="0"/>
              <w:spacing w:before="0" w:after="283"/>
              <w:jc w:val="start"/>
              <w:rPr>
                <w:sz w:val="4"/>
                <w:szCs w:val="4"/>
              </w:rPr>
            </w:pPr>
            <w:r>
              <w:rPr>
                <w:sz w:val="4"/>
                <w:szCs w:val="4"/>
              </w:rPr>
            </w:r>
          </w:p>
        </w:tc>
      </w:tr>
      <w:tr>
        <w:trPr/>
        <w:tc>
          <w:tcPr>
            <w:tcW w:w="1556" w:type="dxa"/>
            <w:tcBorders/>
            <w:vAlign w:val="center"/>
          </w:tcPr>
          <w:p>
            <w:pPr>
              <w:pStyle w:val="TableContents"/>
              <w:bidi w:val="0"/>
              <w:spacing w:before="0" w:after="283"/>
              <w:jc w:val="start"/>
              <w:rPr/>
            </w:pPr>
            <w:r>
              <w:rPr/>
              <w:t xml:space="preserve">Capon F1 </w:t>
            </w:r>
          </w:p>
        </w:tc>
        <w:tc>
          <w:tcPr>
            <w:tcW w:w="1124" w:type="dxa"/>
            <w:tcBorders/>
            <w:vAlign w:val="center"/>
          </w:tcPr>
          <w:p>
            <w:pPr>
              <w:pStyle w:val="TableContents"/>
              <w:bidi w:val="0"/>
              <w:spacing w:before="0" w:after="283"/>
              <w:jc w:val="start"/>
              <w:rPr/>
            </w:pPr>
            <w:r>
              <w:rPr/>
              <w:t xml:space="preserve">2007 </w:t>
            </w:r>
          </w:p>
        </w:tc>
        <w:tc>
          <w:tcPr>
            <w:tcW w:w="1042" w:type="dxa"/>
            <w:tcBorders/>
            <w:vAlign w:val="center"/>
          </w:tcPr>
          <w:p>
            <w:pPr>
              <w:pStyle w:val="TableContents"/>
              <w:bidi w:val="0"/>
              <w:spacing w:before="0" w:after="283"/>
              <w:jc w:val="start"/>
              <w:rPr/>
            </w:pPr>
            <w:r>
              <w:rPr/>
              <w:t xml:space="preserve">UK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65. 4/50 </w:t>
            </w:r>
          </w:p>
        </w:tc>
        <w:tc>
          <w:tcPr>
            <w:tcW w:w="1100" w:type="dxa"/>
            <w:tcBorders/>
            <w:vAlign w:val="center"/>
          </w:tcPr>
          <w:p>
            <w:pPr>
              <w:pStyle w:val="TableContents"/>
              <w:bidi w:val="0"/>
              <w:spacing w:before="0" w:after="283"/>
              <w:jc w:val="start"/>
              <w:rPr/>
            </w:pPr>
            <w:r>
              <w:rPr/>
              <w:t xml:space="preserve">52. 1/- </w:t>
            </w:r>
          </w:p>
        </w:tc>
        <w:tc>
          <w:tcPr>
            <w:tcW w:w="1106" w:type="dxa"/>
            <w:tcBorders/>
            <w:vAlign w:val="center"/>
          </w:tcPr>
          <w:p>
            <w:pPr>
              <w:pStyle w:val="TableContents"/>
              <w:bidi w:val="0"/>
              <w:spacing w:before="0" w:after="283"/>
              <w:jc w:val="start"/>
              <w:rPr/>
            </w:pPr>
            <w:r>
              <w:rPr/>
              <w:t xml:space="preserve">318/288 </w:t>
            </w:r>
          </w:p>
        </w:tc>
        <w:tc>
          <w:tcPr>
            <w:tcW w:w="277" w:type="dxa"/>
            <w:tcBorders/>
            <w:vAlign w:val="center"/>
          </w:tcPr>
          <w:p>
            <w:pPr>
              <w:pStyle w:val="TableContents"/>
              <w:bidi w:val="0"/>
              <w:spacing w:before="0" w:after="283"/>
              <w:jc w:val="start"/>
              <w:rPr/>
            </w:pPr>
            <w:r>
              <w:rPr/>
              <w:t xml:space="preserve">8 </w:t>
            </w:r>
          </w:p>
        </w:tc>
        <w:tc>
          <w:tcPr>
            <w:tcW w:w="891" w:type="dxa"/>
            <w:tcBorders/>
            <w:vAlign w:val="center"/>
          </w:tcPr>
          <w:p>
            <w:pPr>
              <w:pStyle w:val="TableContents"/>
              <w:bidi w:val="0"/>
              <w:spacing w:before="0" w:after="283"/>
              <w:jc w:val="start"/>
              <w:rPr/>
            </w:pPr>
            <w:r>
              <w:rPr/>
              <w:t xml:space="preserve">&gt; 0. 05 </w:t>
            </w:r>
          </w:p>
        </w:tc>
      </w:tr>
      <w:tr>
        <w:trPr/>
        <w:tc>
          <w:tcPr>
            <w:tcW w:w="1556" w:type="dxa"/>
            <w:tcBorders/>
            <w:vAlign w:val="center"/>
          </w:tcPr>
          <w:p>
            <w:pPr>
              <w:pStyle w:val="TableContents"/>
              <w:bidi w:val="0"/>
              <w:spacing w:before="0" w:after="283"/>
              <w:jc w:val="start"/>
              <w:rPr/>
            </w:pPr>
            <w:r>
              <w:rPr/>
              <w:t xml:space="preserve">Capon F2 </w:t>
            </w:r>
          </w:p>
        </w:tc>
        <w:tc>
          <w:tcPr>
            <w:tcW w:w="1124" w:type="dxa"/>
            <w:tcBorders/>
            <w:vAlign w:val="center"/>
          </w:tcPr>
          <w:p>
            <w:pPr>
              <w:pStyle w:val="TableContents"/>
              <w:bidi w:val="0"/>
              <w:spacing w:before="0" w:after="283"/>
              <w:jc w:val="start"/>
              <w:rPr/>
            </w:pPr>
            <w:r>
              <w:rPr/>
              <w:t xml:space="preserve">2007 </w:t>
            </w:r>
          </w:p>
        </w:tc>
        <w:tc>
          <w:tcPr>
            <w:tcW w:w="1042" w:type="dxa"/>
            <w:tcBorders/>
            <w:vAlign w:val="center"/>
          </w:tcPr>
          <w:p>
            <w:pPr>
              <w:pStyle w:val="TableContents"/>
              <w:bidi w:val="0"/>
              <w:spacing w:before="0" w:after="283"/>
              <w:jc w:val="start"/>
              <w:rPr/>
            </w:pPr>
            <w:r>
              <w:rPr/>
              <w:t xml:space="preserve">UK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42. 4/50 </w:t>
            </w:r>
          </w:p>
        </w:tc>
        <w:tc>
          <w:tcPr>
            <w:tcW w:w="1100" w:type="dxa"/>
            <w:tcBorders/>
            <w:vAlign w:val="center"/>
          </w:tcPr>
          <w:p>
            <w:pPr>
              <w:pStyle w:val="TableContents"/>
              <w:bidi w:val="0"/>
              <w:spacing w:before="0" w:after="283"/>
              <w:jc w:val="start"/>
              <w:rPr/>
            </w:pPr>
            <w:r>
              <w:rPr/>
              <w:t xml:space="preserve">44. 1/49 </w:t>
            </w:r>
          </w:p>
        </w:tc>
        <w:tc>
          <w:tcPr>
            <w:tcW w:w="1106" w:type="dxa"/>
            <w:tcBorders/>
            <w:vAlign w:val="center"/>
          </w:tcPr>
          <w:p>
            <w:pPr>
              <w:pStyle w:val="TableContents"/>
              <w:bidi w:val="0"/>
              <w:spacing w:before="0" w:after="283"/>
              <w:jc w:val="start"/>
              <w:rPr/>
            </w:pPr>
            <w:r>
              <w:rPr/>
              <w:t xml:space="preserve">519/528 </w:t>
            </w:r>
          </w:p>
        </w:tc>
        <w:tc>
          <w:tcPr>
            <w:tcW w:w="277" w:type="dxa"/>
            <w:tcBorders/>
            <w:vAlign w:val="center"/>
          </w:tcPr>
          <w:p>
            <w:pPr>
              <w:pStyle w:val="TableContents"/>
              <w:bidi w:val="0"/>
              <w:spacing w:before="0" w:after="283"/>
              <w:jc w:val="start"/>
              <w:rPr/>
            </w:pPr>
            <w:r>
              <w:rPr/>
              <w:t xml:space="preserve">8 </w:t>
            </w:r>
          </w:p>
        </w:tc>
        <w:tc>
          <w:tcPr>
            <w:tcW w:w="891" w:type="dxa"/>
            <w:tcBorders/>
            <w:vAlign w:val="center"/>
          </w:tcPr>
          <w:p>
            <w:pPr>
              <w:pStyle w:val="TableContents"/>
              <w:bidi w:val="0"/>
              <w:spacing w:before="0" w:after="283"/>
              <w:jc w:val="start"/>
              <w:rPr/>
            </w:pPr>
            <w:r>
              <w:rPr/>
              <w:t xml:space="preserve">&gt; 0. 05 </w:t>
            </w:r>
          </w:p>
        </w:tc>
      </w:tr>
      <w:tr>
        <w:trPr/>
        <w:tc>
          <w:tcPr>
            <w:tcW w:w="1556" w:type="dxa"/>
            <w:tcBorders/>
            <w:vAlign w:val="center"/>
          </w:tcPr>
          <w:p>
            <w:pPr>
              <w:pStyle w:val="TableContents"/>
              <w:bidi w:val="0"/>
              <w:spacing w:before="0" w:after="283"/>
              <w:jc w:val="start"/>
              <w:rPr/>
            </w:pPr>
            <w:r>
              <w:rPr/>
              <w:t xml:space="preserve">Cargill M1 </w:t>
            </w:r>
          </w:p>
        </w:tc>
        <w:tc>
          <w:tcPr>
            <w:tcW w:w="1124" w:type="dxa"/>
            <w:tcBorders/>
            <w:vAlign w:val="center"/>
          </w:tcPr>
          <w:p>
            <w:pPr>
              <w:pStyle w:val="TableContents"/>
              <w:bidi w:val="0"/>
              <w:spacing w:before="0" w:after="283"/>
              <w:jc w:val="start"/>
              <w:rPr/>
            </w:pPr>
            <w:r>
              <w:rPr/>
              <w:t xml:space="preserve">2007 </w:t>
            </w:r>
          </w:p>
        </w:tc>
        <w:tc>
          <w:tcPr>
            <w:tcW w:w="1042" w:type="dxa"/>
            <w:tcBorders/>
            <w:vAlign w:val="center"/>
          </w:tcPr>
          <w:p>
            <w:pPr>
              <w:pStyle w:val="TableContents"/>
              <w:bidi w:val="0"/>
              <w:spacing w:before="0" w:after="283"/>
              <w:jc w:val="start"/>
              <w:rPr/>
            </w:pPr>
            <w:r>
              <w:rPr/>
              <w:t xml:space="preserve">USA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45. 5 </w:t>
            </w:r>
          </w:p>
        </w:tc>
        <w:tc>
          <w:tcPr>
            <w:tcW w:w="1100" w:type="dxa"/>
            <w:tcBorders/>
            <w:vAlign w:val="center"/>
          </w:tcPr>
          <w:p>
            <w:pPr>
              <w:pStyle w:val="TableContents"/>
              <w:bidi w:val="0"/>
              <w:spacing w:before="0" w:after="283"/>
              <w:jc w:val="start"/>
              <w:rPr/>
            </w:pPr>
            <w:r>
              <w:rPr/>
              <w:t xml:space="preserve">28 </w:t>
            </w:r>
          </w:p>
        </w:tc>
        <w:tc>
          <w:tcPr>
            <w:tcW w:w="1106" w:type="dxa"/>
            <w:tcBorders/>
            <w:vAlign w:val="center"/>
          </w:tcPr>
          <w:p>
            <w:pPr>
              <w:pStyle w:val="TableContents"/>
              <w:bidi w:val="0"/>
              <w:spacing w:before="0" w:after="283"/>
              <w:jc w:val="start"/>
              <w:rPr/>
            </w:pPr>
            <w:r>
              <w:rPr/>
              <w:t xml:space="preserve">467/500 </w:t>
            </w:r>
          </w:p>
        </w:tc>
        <w:tc>
          <w:tcPr>
            <w:tcW w:w="277" w:type="dxa"/>
            <w:tcBorders/>
            <w:vAlign w:val="center"/>
          </w:tcPr>
          <w:p>
            <w:pPr>
              <w:pStyle w:val="TableContents"/>
              <w:bidi w:val="0"/>
              <w:spacing w:before="0" w:after="283"/>
              <w:jc w:val="start"/>
              <w:rPr/>
            </w:pPr>
            <w:r>
              <w:rPr/>
              <w:t xml:space="preserve">7 </w:t>
            </w:r>
          </w:p>
        </w:tc>
        <w:tc>
          <w:tcPr>
            <w:tcW w:w="891" w:type="dxa"/>
            <w:tcBorders/>
            <w:vAlign w:val="center"/>
          </w:tcPr>
          <w:p>
            <w:pPr>
              <w:pStyle w:val="TableContents"/>
              <w:bidi w:val="0"/>
              <w:spacing w:before="0" w:after="283"/>
              <w:jc w:val="start"/>
              <w:rPr/>
            </w:pPr>
            <w:r>
              <w:rPr/>
              <w:t xml:space="preserve">0. 5876 </w:t>
            </w:r>
          </w:p>
        </w:tc>
      </w:tr>
      <w:tr>
        <w:trPr/>
        <w:tc>
          <w:tcPr>
            <w:tcW w:w="1556" w:type="dxa"/>
            <w:tcBorders/>
            <w:vAlign w:val="center"/>
          </w:tcPr>
          <w:p>
            <w:pPr>
              <w:pStyle w:val="TableContents"/>
              <w:bidi w:val="0"/>
              <w:spacing w:before="0" w:after="283"/>
              <w:jc w:val="start"/>
              <w:rPr/>
            </w:pPr>
            <w:r>
              <w:rPr/>
              <w:t xml:space="preserve">Cargill M2 </w:t>
            </w:r>
          </w:p>
        </w:tc>
        <w:tc>
          <w:tcPr>
            <w:tcW w:w="1124" w:type="dxa"/>
            <w:tcBorders/>
            <w:vAlign w:val="center"/>
          </w:tcPr>
          <w:p>
            <w:pPr>
              <w:pStyle w:val="TableContents"/>
              <w:bidi w:val="0"/>
              <w:spacing w:before="0" w:after="283"/>
              <w:jc w:val="start"/>
              <w:rPr/>
            </w:pPr>
            <w:r>
              <w:rPr/>
              <w:t xml:space="preserve">2007 </w:t>
            </w:r>
          </w:p>
        </w:tc>
        <w:tc>
          <w:tcPr>
            <w:tcW w:w="1042" w:type="dxa"/>
            <w:tcBorders/>
            <w:vAlign w:val="center"/>
          </w:tcPr>
          <w:p>
            <w:pPr>
              <w:pStyle w:val="TableContents"/>
              <w:bidi w:val="0"/>
              <w:spacing w:before="0" w:after="283"/>
              <w:jc w:val="start"/>
              <w:rPr/>
            </w:pPr>
            <w:r>
              <w:rPr/>
              <w:t xml:space="preserve">USA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45. 5 </w:t>
            </w:r>
          </w:p>
        </w:tc>
        <w:tc>
          <w:tcPr>
            <w:tcW w:w="1100" w:type="dxa"/>
            <w:tcBorders/>
            <w:vAlign w:val="center"/>
          </w:tcPr>
          <w:p>
            <w:pPr>
              <w:pStyle w:val="TableContents"/>
              <w:bidi w:val="0"/>
              <w:spacing w:before="0" w:after="283"/>
              <w:jc w:val="start"/>
              <w:rPr/>
            </w:pPr>
            <w:r>
              <w:rPr/>
              <w:t xml:space="preserve">29 </w:t>
            </w:r>
          </w:p>
        </w:tc>
        <w:tc>
          <w:tcPr>
            <w:tcW w:w="1106" w:type="dxa"/>
            <w:tcBorders/>
            <w:vAlign w:val="center"/>
          </w:tcPr>
          <w:p>
            <w:pPr>
              <w:pStyle w:val="TableContents"/>
              <w:bidi w:val="0"/>
              <w:spacing w:before="0" w:after="283"/>
              <w:jc w:val="start"/>
              <w:rPr/>
            </w:pPr>
            <w:r>
              <w:rPr/>
              <w:t xml:space="preserve">498/498 </w:t>
            </w:r>
          </w:p>
        </w:tc>
        <w:tc>
          <w:tcPr>
            <w:tcW w:w="277" w:type="dxa"/>
            <w:tcBorders/>
            <w:vAlign w:val="center"/>
          </w:tcPr>
          <w:p>
            <w:pPr>
              <w:pStyle w:val="TableContents"/>
              <w:bidi w:val="0"/>
              <w:spacing w:before="0" w:after="283"/>
              <w:jc w:val="start"/>
              <w:rPr/>
            </w:pPr>
            <w:r>
              <w:rPr/>
              <w:t xml:space="preserve">7 </w:t>
            </w:r>
          </w:p>
        </w:tc>
        <w:tc>
          <w:tcPr>
            <w:tcW w:w="891" w:type="dxa"/>
            <w:tcBorders/>
            <w:vAlign w:val="center"/>
          </w:tcPr>
          <w:p>
            <w:pPr>
              <w:pStyle w:val="TableContents"/>
              <w:bidi w:val="0"/>
              <w:spacing w:before="0" w:after="283"/>
              <w:jc w:val="start"/>
              <w:rPr/>
            </w:pPr>
            <w:r>
              <w:rPr/>
              <w:t xml:space="preserve">0. 9129 </w:t>
            </w:r>
          </w:p>
        </w:tc>
      </w:tr>
      <w:tr>
        <w:trPr/>
        <w:tc>
          <w:tcPr>
            <w:tcW w:w="1556" w:type="dxa"/>
            <w:tcBorders/>
            <w:vAlign w:val="center"/>
          </w:tcPr>
          <w:p>
            <w:pPr>
              <w:pStyle w:val="TableContents"/>
              <w:bidi w:val="0"/>
              <w:spacing w:before="0" w:after="283"/>
              <w:jc w:val="start"/>
              <w:rPr/>
            </w:pPr>
            <w:r>
              <w:rPr/>
              <w:t xml:space="preserve">Eiris N </w:t>
            </w:r>
          </w:p>
        </w:tc>
        <w:tc>
          <w:tcPr>
            <w:tcW w:w="1124" w:type="dxa"/>
            <w:tcBorders/>
            <w:vAlign w:val="center"/>
          </w:tcPr>
          <w:p>
            <w:pPr>
              <w:pStyle w:val="TableContents"/>
              <w:bidi w:val="0"/>
              <w:spacing w:before="0" w:after="283"/>
              <w:jc w:val="start"/>
              <w:rPr/>
            </w:pPr>
            <w:r>
              <w:rPr/>
              <w:t xml:space="preserve">2012 </w:t>
            </w:r>
          </w:p>
        </w:tc>
        <w:tc>
          <w:tcPr>
            <w:tcW w:w="1042" w:type="dxa"/>
            <w:tcBorders/>
            <w:vAlign w:val="center"/>
          </w:tcPr>
          <w:p>
            <w:pPr>
              <w:pStyle w:val="TableContents"/>
              <w:bidi w:val="0"/>
              <w:spacing w:before="0" w:after="283"/>
              <w:jc w:val="start"/>
              <w:rPr/>
            </w:pPr>
            <w:r>
              <w:rPr/>
              <w:t xml:space="preserve">Spain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54/55 </w:t>
            </w:r>
          </w:p>
        </w:tc>
        <w:tc>
          <w:tcPr>
            <w:tcW w:w="1100" w:type="dxa"/>
            <w:tcBorders/>
            <w:vAlign w:val="center"/>
          </w:tcPr>
          <w:p>
            <w:pPr>
              <w:pStyle w:val="TableContents"/>
              <w:bidi w:val="0"/>
              <w:spacing w:before="0" w:after="283"/>
              <w:jc w:val="start"/>
              <w:rPr/>
            </w:pPr>
            <w:r>
              <w:rPr/>
              <w:t xml:space="preserve">47/47 </w:t>
            </w:r>
          </w:p>
        </w:tc>
        <w:tc>
          <w:tcPr>
            <w:tcW w:w="1106" w:type="dxa"/>
            <w:tcBorders/>
            <w:vAlign w:val="center"/>
          </w:tcPr>
          <w:p>
            <w:pPr>
              <w:pStyle w:val="TableContents"/>
              <w:bidi w:val="0"/>
              <w:spacing w:before="0" w:after="283"/>
              <w:jc w:val="start"/>
              <w:rPr/>
            </w:pPr>
            <w:r>
              <w:rPr/>
              <w:t xml:space="preserve">304/422 </w:t>
            </w:r>
          </w:p>
        </w:tc>
        <w:tc>
          <w:tcPr>
            <w:tcW w:w="277" w:type="dxa"/>
            <w:tcBorders/>
            <w:vAlign w:val="center"/>
          </w:tcPr>
          <w:p>
            <w:pPr>
              <w:pStyle w:val="TableContents"/>
              <w:bidi w:val="0"/>
              <w:spacing w:before="0" w:after="283"/>
              <w:jc w:val="start"/>
              <w:rPr/>
            </w:pPr>
            <w:r>
              <w:rPr/>
              <w:t xml:space="preserve">6 </w:t>
            </w:r>
          </w:p>
        </w:tc>
        <w:tc>
          <w:tcPr>
            <w:tcW w:w="891" w:type="dxa"/>
            <w:tcBorders/>
            <w:vAlign w:val="center"/>
          </w:tcPr>
          <w:p>
            <w:pPr>
              <w:pStyle w:val="TableContents"/>
              <w:bidi w:val="0"/>
              <w:spacing w:before="0" w:after="283"/>
              <w:jc w:val="start"/>
              <w:rPr/>
            </w:pPr>
            <w:r>
              <w:rPr/>
              <w:t xml:space="preserve">0. 1045 </w:t>
            </w:r>
          </w:p>
        </w:tc>
      </w:tr>
      <w:tr>
        <w:trPr/>
        <w:tc>
          <w:tcPr>
            <w:tcW w:w="1556" w:type="dxa"/>
            <w:tcBorders/>
            <w:vAlign w:val="center"/>
          </w:tcPr>
          <w:p>
            <w:pPr>
              <w:pStyle w:val="TableContents"/>
              <w:bidi w:val="0"/>
              <w:spacing w:before="0" w:after="283"/>
              <w:jc w:val="start"/>
              <w:rPr/>
            </w:pPr>
            <w:r>
              <w:rPr/>
              <w:t xml:space="preserve">Hüffmeier U </w:t>
            </w:r>
          </w:p>
        </w:tc>
        <w:tc>
          <w:tcPr>
            <w:tcW w:w="1124" w:type="dxa"/>
            <w:tcBorders/>
            <w:vAlign w:val="center"/>
          </w:tcPr>
          <w:p>
            <w:pPr>
              <w:pStyle w:val="TableContents"/>
              <w:bidi w:val="0"/>
              <w:spacing w:before="0" w:after="283"/>
              <w:jc w:val="start"/>
              <w:rPr/>
            </w:pPr>
            <w:r>
              <w:rPr/>
              <w:t xml:space="preserve">2009 </w:t>
            </w:r>
          </w:p>
        </w:tc>
        <w:tc>
          <w:tcPr>
            <w:tcW w:w="1042" w:type="dxa"/>
            <w:tcBorders/>
            <w:vAlign w:val="center"/>
          </w:tcPr>
          <w:p>
            <w:pPr>
              <w:pStyle w:val="TableContents"/>
              <w:bidi w:val="0"/>
              <w:spacing w:before="0" w:after="283"/>
              <w:jc w:val="start"/>
              <w:rPr/>
            </w:pPr>
            <w:r>
              <w:rPr/>
              <w:t xml:space="preserve">Germany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62/58 </w:t>
            </w:r>
          </w:p>
        </w:tc>
        <w:tc>
          <w:tcPr>
            <w:tcW w:w="1100" w:type="dxa"/>
            <w:tcBorders/>
            <w:vAlign w:val="center"/>
          </w:tcPr>
          <w:p>
            <w:pPr>
              <w:pStyle w:val="TableContents"/>
              <w:bidi w:val="0"/>
              <w:spacing w:before="0" w:after="283"/>
              <w:jc w:val="start"/>
              <w:rPr/>
            </w:pPr>
            <w:r>
              <w:rPr/>
              <w:t xml:space="preserve">48. 2/31. 6 </w:t>
            </w:r>
          </w:p>
        </w:tc>
        <w:tc>
          <w:tcPr>
            <w:tcW w:w="1106" w:type="dxa"/>
            <w:tcBorders/>
            <w:vAlign w:val="center"/>
          </w:tcPr>
          <w:p>
            <w:pPr>
              <w:pStyle w:val="TableContents"/>
              <w:bidi w:val="0"/>
              <w:spacing w:before="0" w:after="283"/>
              <w:jc w:val="start"/>
              <w:rPr/>
            </w:pPr>
            <w:r>
              <w:rPr/>
              <w:t xml:space="preserve">1114/937 </w:t>
            </w:r>
          </w:p>
        </w:tc>
        <w:tc>
          <w:tcPr>
            <w:tcW w:w="277" w:type="dxa"/>
            <w:tcBorders/>
            <w:vAlign w:val="center"/>
          </w:tcPr>
          <w:p>
            <w:pPr>
              <w:pStyle w:val="TableContents"/>
              <w:bidi w:val="0"/>
              <w:spacing w:before="0" w:after="283"/>
              <w:jc w:val="start"/>
              <w:rPr/>
            </w:pPr>
            <w:r>
              <w:rPr/>
              <w:t xml:space="preserve">6 </w:t>
            </w:r>
          </w:p>
        </w:tc>
        <w:tc>
          <w:tcPr>
            <w:tcW w:w="891" w:type="dxa"/>
            <w:tcBorders/>
            <w:vAlign w:val="center"/>
          </w:tcPr>
          <w:p>
            <w:pPr>
              <w:pStyle w:val="TableContents"/>
              <w:bidi w:val="0"/>
              <w:spacing w:before="0" w:after="283"/>
              <w:jc w:val="start"/>
              <w:rPr/>
            </w:pPr>
            <w:r>
              <w:rPr/>
              <w:t xml:space="preserve">&gt; 0. 05 </w:t>
            </w:r>
          </w:p>
        </w:tc>
      </w:tr>
      <w:tr>
        <w:trPr/>
        <w:tc>
          <w:tcPr>
            <w:tcW w:w="1556" w:type="dxa"/>
            <w:tcBorders/>
            <w:vAlign w:val="center"/>
          </w:tcPr>
          <w:p>
            <w:pPr>
              <w:pStyle w:val="TableContents"/>
              <w:bidi w:val="0"/>
              <w:spacing w:before="0" w:after="283"/>
              <w:jc w:val="start"/>
              <w:rPr/>
            </w:pPr>
            <w:r>
              <w:rPr/>
              <w:t xml:space="preserve">Nair RP1 </w:t>
            </w:r>
          </w:p>
        </w:tc>
        <w:tc>
          <w:tcPr>
            <w:tcW w:w="1124" w:type="dxa"/>
            <w:tcBorders/>
            <w:vAlign w:val="center"/>
          </w:tcPr>
          <w:p>
            <w:pPr>
              <w:pStyle w:val="TableContents"/>
              <w:bidi w:val="0"/>
              <w:spacing w:before="0" w:after="283"/>
              <w:jc w:val="start"/>
              <w:rPr/>
            </w:pPr>
            <w:r>
              <w:rPr/>
              <w:t xml:space="preserve">2008 </w:t>
            </w:r>
          </w:p>
        </w:tc>
        <w:tc>
          <w:tcPr>
            <w:tcW w:w="1042" w:type="dxa"/>
            <w:tcBorders/>
            <w:vAlign w:val="center"/>
          </w:tcPr>
          <w:p>
            <w:pPr>
              <w:pStyle w:val="TableContents"/>
              <w:bidi w:val="0"/>
              <w:spacing w:before="0" w:after="283"/>
              <w:jc w:val="start"/>
              <w:rPr/>
            </w:pPr>
            <w:r>
              <w:rPr/>
              <w:t xml:space="preserve">Germany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 </w:t>
            </w:r>
          </w:p>
        </w:tc>
        <w:tc>
          <w:tcPr>
            <w:tcW w:w="1100" w:type="dxa"/>
            <w:tcBorders/>
            <w:vAlign w:val="center"/>
          </w:tcPr>
          <w:p>
            <w:pPr>
              <w:pStyle w:val="TableContents"/>
              <w:bidi w:val="0"/>
              <w:spacing w:before="0" w:after="283"/>
              <w:jc w:val="start"/>
              <w:rPr/>
            </w:pPr>
            <w:r>
              <w:rPr/>
              <w:t xml:space="preserve">– </w:t>
            </w:r>
          </w:p>
        </w:tc>
        <w:tc>
          <w:tcPr>
            <w:tcW w:w="1106" w:type="dxa"/>
            <w:tcBorders/>
            <w:vAlign w:val="center"/>
          </w:tcPr>
          <w:p>
            <w:pPr>
              <w:pStyle w:val="TableContents"/>
              <w:bidi w:val="0"/>
              <w:spacing w:before="0" w:after="283"/>
              <w:jc w:val="start"/>
              <w:rPr/>
            </w:pPr>
            <w:r>
              <w:rPr/>
              <w:t xml:space="preserve">360/1097 </w:t>
            </w:r>
          </w:p>
        </w:tc>
        <w:tc>
          <w:tcPr>
            <w:tcW w:w="277" w:type="dxa"/>
            <w:tcBorders/>
            <w:vAlign w:val="center"/>
          </w:tcPr>
          <w:p>
            <w:pPr>
              <w:pStyle w:val="TableContents"/>
              <w:bidi w:val="0"/>
              <w:spacing w:before="0" w:after="283"/>
              <w:jc w:val="start"/>
              <w:rPr/>
            </w:pPr>
            <w:r>
              <w:rPr/>
              <w:t xml:space="preserve">7 </w:t>
            </w:r>
          </w:p>
        </w:tc>
        <w:tc>
          <w:tcPr>
            <w:tcW w:w="891" w:type="dxa"/>
            <w:tcBorders/>
            <w:vAlign w:val="center"/>
          </w:tcPr>
          <w:p>
            <w:pPr>
              <w:pStyle w:val="TableContents"/>
              <w:bidi w:val="0"/>
              <w:spacing w:before="0" w:after="283"/>
              <w:jc w:val="start"/>
              <w:rPr/>
            </w:pPr>
            <w:r>
              <w:rPr/>
              <w:t xml:space="preserve">&gt; 0. 05 </w:t>
            </w:r>
          </w:p>
        </w:tc>
      </w:tr>
      <w:tr>
        <w:trPr/>
        <w:tc>
          <w:tcPr>
            <w:tcW w:w="1556" w:type="dxa"/>
            <w:tcBorders/>
            <w:vAlign w:val="center"/>
          </w:tcPr>
          <w:p>
            <w:pPr>
              <w:pStyle w:val="TableContents"/>
              <w:bidi w:val="0"/>
              <w:spacing w:before="0" w:after="283"/>
              <w:jc w:val="start"/>
              <w:rPr/>
            </w:pPr>
            <w:r>
              <w:rPr/>
              <w:t xml:space="preserve">Nair RP2 </w:t>
            </w:r>
          </w:p>
        </w:tc>
        <w:tc>
          <w:tcPr>
            <w:tcW w:w="1124" w:type="dxa"/>
            <w:tcBorders/>
            <w:vAlign w:val="center"/>
          </w:tcPr>
          <w:p>
            <w:pPr>
              <w:pStyle w:val="TableContents"/>
              <w:bidi w:val="0"/>
              <w:spacing w:before="0" w:after="283"/>
              <w:jc w:val="start"/>
              <w:rPr/>
            </w:pPr>
            <w:r>
              <w:rPr/>
              <w:t xml:space="preserve">2008 </w:t>
            </w:r>
          </w:p>
        </w:tc>
        <w:tc>
          <w:tcPr>
            <w:tcW w:w="1042" w:type="dxa"/>
            <w:tcBorders/>
            <w:vAlign w:val="center"/>
          </w:tcPr>
          <w:p>
            <w:pPr>
              <w:pStyle w:val="TableContents"/>
              <w:bidi w:val="0"/>
              <w:spacing w:before="0" w:after="283"/>
              <w:jc w:val="start"/>
              <w:rPr/>
            </w:pPr>
            <w:r>
              <w:rPr/>
              <w:t xml:space="preserve">USA </w:t>
            </w:r>
          </w:p>
        </w:tc>
        <w:tc>
          <w:tcPr>
            <w:tcW w:w="1162" w:type="dxa"/>
            <w:tcBorders/>
            <w:vAlign w:val="center"/>
          </w:tcPr>
          <w:p>
            <w:pPr>
              <w:pStyle w:val="TableContents"/>
              <w:bidi w:val="0"/>
              <w:spacing w:before="0" w:after="283"/>
              <w:jc w:val="start"/>
              <w:rPr/>
            </w:pPr>
            <w:r>
              <w:rPr/>
              <w:t xml:space="preserve">European </w:t>
            </w:r>
          </w:p>
        </w:tc>
        <w:tc>
          <w:tcPr>
            <w:tcW w:w="3081" w:type="dxa"/>
            <w:tcBorders/>
            <w:vAlign w:val="center"/>
          </w:tcPr>
          <w:p>
            <w:pPr>
              <w:pStyle w:val="TableContents"/>
              <w:bidi w:val="0"/>
              <w:spacing w:before="0" w:after="283"/>
              <w:jc w:val="start"/>
              <w:rPr/>
            </w:pPr>
            <w:r>
              <w:rPr/>
              <w:t xml:space="preserve">– </w:t>
            </w:r>
          </w:p>
        </w:tc>
        <w:tc>
          <w:tcPr>
            <w:tcW w:w="1100" w:type="dxa"/>
            <w:tcBorders/>
            <w:vAlign w:val="center"/>
          </w:tcPr>
          <w:p>
            <w:pPr>
              <w:pStyle w:val="TableContents"/>
              <w:bidi w:val="0"/>
              <w:spacing w:before="0" w:after="283"/>
              <w:jc w:val="start"/>
              <w:rPr/>
            </w:pPr>
            <w:r>
              <w:rPr/>
              <w:t xml:space="preserve">– </w:t>
            </w:r>
          </w:p>
        </w:tc>
        <w:tc>
          <w:tcPr>
            <w:tcW w:w="1106" w:type="dxa"/>
            <w:tcBorders/>
            <w:vAlign w:val="center"/>
          </w:tcPr>
          <w:p>
            <w:pPr>
              <w:pStyle w:val="TableContents"/>
              <w:bidi w:val="0"/>
              <w:spacing w:before="0" w:after="283"/>
              <w:jc w:val="start"/>
              <w:rPr/>
            </w:pPr>
            <w:r>
              <w:rPr/>
              <w:t xml:space="preserve">1450/1425 </w:t>
            </w:r>
          </w:p>
        </w:tc>
        <w:tc>
          <w:tcPr>
            <w:tcW w:w="277" w:type="dxa"/>
            <w:tcBorders/>
            <w:vAlign w:val="center"/>
          </w:tcPr>
          <w:p>
            <w:pPr>
              <w:pStyle w:val="TableContents"/>
              <w:bidi w:val="0"/>
              <w:spacing w:before="0" w:after="283"/>
              <w:jc w:val="start"/>
              <w:rPr/>
            </w:pPr>
            <w:r>
              <w:rPr/>
              <w:t xml:space="preserve">7 </w:t>
            </w:r>
          </w:p>
        </w:tc>
        <w:tc>
          <w:tcPr>
            <w:tcW w:w="891" w:type="dxa"/>
            <w:tcBorders/>
            <w:vAlign w:val="center"/>
          </w:tcPr>
          <w:p>
            <w:pPr>
              <w:pStyle w:val="TableContents"/>
              <w:bidi w:val="0"/>
              <w:spacing w:before="0" w:after="283"/>
              <w:jc w:val="start"/>
              <w:rPr/>
            </w:pPr>
            <w:r>
              <w:rPr/>
              <w:t xml:space="preserve">&gt; 0. 05 </w:t>
            </w:r>
          </w:p>
        </w:tc>
      </w:tr>
      <w:tr>
        <w:trPr/>
        <w:tc>
          <w:tcPr>
            <w:tcW w:w="1556" w:type="dxa"/>
            <w:tcBorders/>
            <w:vAlign w:val="center"/>
          </w:tcPr>
          <w:p>
            <w:pPr>
              <w:pStyle w:val="TableContents"/>
              <w:bidi w:val="0"/>
              <w:spacing w:before="0" w:after="283"/>
              <w:jc w:val="start"/>
              <w:rPr/>
            </w:pPr>
            <w:r>
              <w:rPr/>
              <w:t xml:space="preserve">Nair RP3 </w:t>
            </w:r>
          </w:p>
        </w:tc>
        <w:tc>
          <w:tcPr>
            <w:tcW w:w="1124" w:type="dxa"/>
            <w:tcBorders/>
            <w:vAlign w:val="center"/>
          </w:tcPr>
          <w:p>
            <w:pPr>
              <w:pStyle w:val="TableContents"/>
              <w:bidi w:val="0"/>
              <w:spacing w:before="0" w:after="283"/>
              <w:jc w:val="start"/>
              <w:rPr/>
            </w:pPr>
            <w:r>
              <w:rPr/>
              <w:t xml:space="preserve">2010 </w:t>
            </w:r>
          </w:p>
        </w:tc>
        <w:tc>
          <w:tcPr>
            <w:tcW w:w="1042" w:type="dxa"/>
            <w:tcBorders/>
            <w:vAlign w:val="center"/>
          </w:tcPr>
          <w:p>
            <w:pPr>
              <w:pStyle w:val="TableContents"/>
              <w:bidi w:val="0"/>
              <w:spacing w:before="0" w:after="283"/>
              <w:jc w:val="start"/>
              <w:rPr/>
            </w:pPr>
            <w:r>
              <w:rPr/>
              <w:t xml:space="preserve">Thailand </w:t>
            </w:r>
          </w:p>
        </w:tc>
        <w:tc>
          <w:tcPr>
            <w:tcW w:w="1162" w:type="dxa"/>
            <w:tcBorders/>
            <w:vAlign w:val="center"/>
          </w:tcPr>
          <w:p>
            <w:pPr>
              <w:pStyle w:val="TableContents"/>
              <w:bidi w:val="0"/>
              <w:spacing w:before="0" w:after="283"/>
              <w:jc w:val="start"/>
              <w:rPr/>
            </w:pPr>
            <w:r>
              <w:rPr/>
              <w:t xml:space="preserve">Asian </w:t>
            </w:r>
          </w:p>
        </w:tc>
        <w:tc>
          <w:tcPr>
            <w:tcW w:w="3081" w:type="dxa"/>
            <w:tcBorders/>
            <w:vAlign w:val="center"/>
          </w:tcPr>
          <w:p>
            <w:pPr>
              <w:pStyle w:val="TableContents"/>
              <w:bidi w:val="0"/>
              <w:spacing w:before="0" w:after="283"/>
              <w:jc w:val="start"/>
              <w:rPr/>
            </w:pPr>
            <w:r>
              <w:rPr/>
              <w:t xml:space="preserve">58/42 </w:t>
            </w:r>
          </w:p>
        </w:tc>
        <w:tc>
          <w:tcPr>
            <w:tcW w:w="1100" w:type="dxa"/>
            <w:tcBorders/>
            <w:vAlign w:val="center"/>
          </w:tcPr>
          <w:p>
            <w:pPr>
              <w:pStyle w:val="TableContents"/>
              <w:bidi w:val="0"/>
              <w:spacing w:before="0" w:after="283"/>
              <w:jc w:val="start"/>
              <w:rPr/>
            </w:pPr>
            <w:r>
              <w:rPr/>
              <w:t xml:space="preserve">34/45 </w:t>
            </w:r>
          </w:p>
        </w:tc>
        <w:tc>
          <w:tcPr>
            <w:tcW w:w="1106" w:type="dxa"/>
            <w:tcBorders/>
            <w:vAlign w:val="center"/>
          </w:tcPr>
          <w:p>
            <w:pPr>
              <w:pStyle w:val="TableContents"/>
              <w:bidi w:val="0"/>
              <w:spacing w:before="0" w:after="283"/>
              <w:jc w:val="start"/>
              <w:rPr/>
            </w:pPr>
            <w:r>
              <w:rPr/>
              <w:t xml:space="preserve">206/114 </w:t>
            </w:r>
          </w:p>
        </w:tc>
        <w:tc>
          <w:tcPr>
            <w:tcW w:w="277" w:type="dxa"/>
            <w:tcBorders/>
            <w:vAlign w:val="center"/>
          </w:tcPr>
          <w:p>
            <w:pPr>
              <w:pStyle w:val="TableContents"/>
              <w:bidi w:val="0"/>
              <w:spacing w:before="0" w:after="283"/>
              <w:jc w:val="start"/>
              <w:rPr/>
            </w:pPr>
            <w:r>
              <w:rPr/>
              <w:t xml:space="preserve">7 </w:t>
            </w:r>
          </w:p>
        </w:tc>
        <w:tc>
          <w:tcPr>
            <w:tcW w:w="891" w:type="dxa"/>
            <w:tcBorders/>
            <w:vAlign w:val="center"/>
          </w:tcPr>
          <w:p>
            <w:pPr>
              <w:pStyle w:val="TableContents"/>
              <w:bidi w:val="0"/>
              <w:spacing w:before="0" w:after="283"/>
              <w:jc w:val="start"/>
              <w:rPr/>
            </w:pPr>
            <w:r>
              <w:rPr/>
              <w:t xml:space="preserve">0. 8488 </w:t>
            </w:r>
          </w:p>
        </w:tc>
      </w:tr>
      <w:tr>
        <w:trPr/>
        <w:tc>
          <w:tcPr>
            <w:tcW w:w="1556" w:type="dxa"/>
            <w:tcBorders/>
            <w:vAlign w:val="center"/>
          </w:tcPr>
          <w:p>
            <w:pPr>
              <w:pStyle w:val="TableContents"/>
              <w:bidi w:val="0"/>
              <w:spacing w:before="0" w:after="283"/>
              <w:jc w:val="start"/>
              <w:rPr/>
            </w:pPr>
            <w:r>
              <w:rPr/>
              <w:t xml:space="preserve">Oka A </w:t>
            </w:r>
          </w:p>
        </w:tc>
        <w:tc>
          <w:tcPr>
            <w:tcW w:w="1124" w:type="dxa"/>
            <w:tcBorders/>
            <w:vAlign w:val="center"/>
          </w:tcPr>
          <w:p>
            <w:pPr>
              <w:pStyle w:val="TableContents"/>
              <w:bidi w:val="0"/>
              <w:spacing w:before="0" w:after="283"/>
              <w:jc w:val="start"/>
              <w:rPr/>
            </w:pPr>
            <w:r>
              <w:rPr/>
              <w:t xml:space="preserve">2013 </w:t>
            </w:r>
          </w:p>
        </w:tc>
        <w:tc>
          <w:tcPr>
            <w:tcW w:w="1042" w:type="dxa"/>
            <w:tcBorders/>
            <w:vAlign w:val="center"/>
          </w:tcPr>
          <w:p>
            <w:pPr>
              <w:pStyle w:val="TableContents"/>
              <w:bidi w:val="0"/>
              <w:spacing w:before="0" w:after="283"/>
              <w:jc w:val="start"/>
              <w:rPr/>
            </w:pPr>
            <w:r>
              <w:rPr/>
              <w:t xml:space="preserve">Japanese </w:t>
            </w:r>
          </w:p>
        </w:tc>
        <w:tc>
          <w:tcPr>
            <w:tcW w:w="1162" w:type="dxa"/>
            <w:tcBorders/>
            <w:vAlign w:val="center"/>
          </w:tcPr>
          <w:p>
            <w:pPr>
              <w:pStyle w:val="TableContents"/>
              <w:bidi w:val="0"/>
              <w:spacing w:before="0" w:after="283"/>
              <w:jc w:val="start"/>
              <w:rPr/>
            </w:pPr>
            <w:r>
              <w:rPr/>
              <w:t xml:space="preserve">Asian </w:t>
            </w:r>
          </w:p>
        </w:tc>
        <w:tc>
          <w:tcPr>
            <w:tcW w:w="3081" w:type="dxa"/>
            <w:tcBorders/>
            <w:vAlign w:val="center"/>
          </w:tcPr>
          <w:p>
            <w:pPr>
              <w:pStyle w:val="TableContents"/>
              <w:bidi w:val="0"/>
              <w:spacing w:before="0" w:after="283"/>
              <w:jc w:val="start"/>
              <w:rPr/>
            </w:pPr>
            <w:r>
              <w:rPr/>
              <w:t xml:space="preserve">– </w:t>
            </w:r>
          </w:p>
        </w:tc>
        <w:tc>
          <w:tcPr>
            <w:tcW w:w="1100" w:type="dxa"/>
            <w:tcBorders/>
            <w:vAlign w:val="center"/>
          </w:tcPr>
          <w:p>
            <w:pPr>
              <w:pStyle w:val="TableContents"/>
              <w:bidi w:val="0"/>
              <w:spacing w:before="0" w:after="283"/>
              <w:jc w:val="start"/>
              <w:rPr/>
            </w:pPr>
            <w:r>
              <w:rPr/>
              <w:t xml:space="preserve">– </w:t>
            </w:r>
          </w:p>
        </w:tc>
        <w:tc>
          <w:tcPr>
            <w:tcW w:w="1106" w:type="dxa"/>
            <w:tcBorders/>
            <w:vAlign w:val="center"/>
          </w:tcPr>
          <w:p>
            <w:pPr>
              <w:pStyle w:val="TableContents"/>
              <w:bidi w:val="0"/>
              <w:spacing w:before="0" w:after="283"/>
              <w:jc w:val="start"/>
              <w:rPr/>
            </w:pPr>
            <w:r>
              <w:rPr/>
              <w:t xml:space="preserve">560/560 </w:t>
            </w:r>
          </w:p>
        </w:tc>
        <w:tc>
          <w:tcPr>
            <w:tcW w:w="277" w:type="dxa"/>
            <w:tcBorders/>
            <w:vAlign w:val="center"/>
          </w:tcPr>
          <w:p>
            <w:pPr>
              <w:pStyle w:val="TableContents"/>
              <w:bidi w:val="0"/>
              <w:spacing w:before="0" w:after="283"/>
              <w:jc w:val="start"/>
              <w:rPr/>
            </w:pPr>
            <w:r>
              <w:rPr/>
              <w:t xml:space="preserve">8 </w:t>
            </w:r>
          </w:p>
        </w:tc>
        <w:tc>
          <w:tcPr>
            <w:tcW w:w="891" w:type="dxa"/>
            <w:tcBorders/>
            <w:vAlign w:val="center"/>
          </w:tcPr>
          <w:p>
            <w:pPr>
              <w:pStyle w:val="TableContents"/>
              <w:bidi w:val="0"/>
              <w:spacing w:before="0" w:after="283"/>
              <w:jc w:val="start"/>
              <w:rPr/>
            </w:pPr>
            <w:r>
              <w:rPr/>
              <w:t xml:space="preserve">– </w:t>
            </w:r>
          </w:p>
        </w:tc>
      </w:tr>
      <w:tr>
        <w:trPr/>
        <w:tc>
          <w:tcPr>
            <w:tcW w:w="1556" w:type="dxa"/>
            <w:tcBorders/>
            <w:vAlign w:val="center"/>
          </w:tcPr>
          <w:p>
            <w:pPr>
              <w:pStyle w:val="TableContents"/>
              <w:bidi w:val="0"/>
              <w:spacing w:before="0" w:after="283"/>
              <w:jc w:val="start"/>
              <w:rPr/>
            </w:pPr>
            <w:r>
              <w:rPr/>
              <w:t xml:space="preserve">Smith RL </w:t>
            </w:r>
          </w:p>
        </w:tc>
        <w:tc>
          <w:tcPr>
            <w:tcW w:w="1124" w:type="dxa"/>
            <w:tcBorders/>
            <w:vAlign w:val="center"/>
          </w:tcPr>
          <w:p>
            <w:pPr>
              <w:pStyle w:val="TableContents"/>
              <w:bidi w:val="0"/>
              <w:spacing w:before="0" w:after="283"/>
              <w:jc w:val="start"/>
              <w:rPr/>
            </w:pPr>
            <w:r>
              <w:rPr/>
              <w:t xml:space="preserve">2008 </w:t>
            </w:r>
          </w:p>
        </w:tc>
        <w:tc>
          <w:tcPr>
            <w:tcW w:w="1042" w:type="dxa"/>
            <w:tcBorders/>
            <w:vAlign w:val="center"/>
          </w:tcPr>
          <w:p>
            <w:pPr>
              <w:pStyle w:val="TableContents"/>
              <w:bidi w:val="0"/>
              <w:spacing w:before="0" w:after="283"/>
              <w:jc w:val="start"/>
              <w:rPr/>
            </w:pPr>
            <w:r>
              <w:rPr/>
              <w:t xml:space="preserve">UK </w:t>
            </w:r>
          </w:p>
        </w:tc>
        <w:tc>
          <w:tcPr>
            <w:tcW w:w="1162" w:type="dxa"/>
            <w:tcBorders/>
            <w:vAlign w:val="center"/>
          </w:tcPr>
          <w:p>
            <w:pPr>
              <w:pStyle w:val="TableContents"/>
              <w:bidi w:val="0"/>
              <w:spacing w:before="0" w:after="283"/>
              <w:jc w:val="start"/>
              <w:rPr/>
            </w:pPr>
            <w:r>
              <w:rPr/>
              <w:t xml:space="preserve">Mixed </w:t>
            </w:r>
          </w:p>
        </w:tc>
        <w:tc>
          <w:tcPr>
            <w:tcW w:w="3081" w:type="dxa"/>
            <w:tcBorders/>
            <w:vAlign w:val="center"/>
          </w:tcPr>
          <w:p>
            <w:pPr>
              <w:pStyle w:val="TableContents"/>
              <w:bidi w:val="0"/>
              <w:spacing w:before="0" w:after="283"/>
              <w:jc w:val="start"/>
              <w:rPr/>
            </w:pPr>
            <w:r>
              <w:rPr/>
              <w:t xml:space="preserve">– </w:t>
            </w:r>
          </w:p>
        </w:tc>
        <w:tc>
          <w:tcPr>
            <w:tcW w:w="1100" w:type="dxa"/>
            <w:tcBorders/>
            <w:vAlign w:val="center"/>
          </w:tcPr>
          <w:p>
            <w:pPr>
              <w:pStyle w:val="TableContents"/>
              <w:bidi w:val="0"/>
              <w:spacing w:before="0" w:after="283"/>
              <w:jc w:val="start"/>
              <w:rPr/>
            </w:pPr>
            <w:r>
              <w:rPr/>
              <w:t xml:space="preserve">– </w:t>
            </w:r>
          </w:p>
        </w:tc>
        <w:tc>
          <w:tcPr>
            <w:tcW w:w="1106" w:type="dxa"/>
            <w:tcBorders/>
            <w:vAlign w:val="center"/>
          </w:tcPr>
          <w:p>
            <w:pPr>
              <w:pStyle w:val="TableContents"/>
              <w:bidi w:val="0"/>
              <w:spacing w:before="0" w:after="283"/>
              <w:jc w:val="start"/>
              <w:rPr/>
            </w:pPr>
            <w:r>
              <w:rPr/>
              <w:t xml:space="preserve">581/4681 </w:t>
            </w:r>
          </w:p>
        </w:tc>
        <w:tc>
          <w:tcPr>
            <w:tcW w:w="277" w:type="dxa"/>
            <w:tcBorders/>
            <w:vAlign w:val="center"/>
          </w:tcPr>
          <w:p>
            <w:pPr>
              <w:pStyle w:val="TableContents"/>
              <w:bidi w:val="0"/>
              <w:spacing w:before="0" w:after="283"/>
              <w:jc w:val="start"/>
              <w:rPr/>
            </w:pPr>
            <w:r>
              <w:rPr/>
              <w:t xml:space="preserve">6 </w:t>
            </w:r>
          </w:p>
        </w:tc>
        <w:tc>
          <w:tcPr>
            <w:tcW w:w="891" w:type="dxa"/>
            <w:tcBorders/>
            <w:vAlign w:val="center"/>
          </w:tcPr>
          <w:p>
            <w:pPr>
              <w:pStyle w:val="TableContents"/>
              <w:bidi w:val="0"/>
              <w:spacing w:before="0" w:after="283"/>
              <w:jc w:val="start"/>
              <w:rPr/>
            </w:pPr>
            <w:r>
              <w:rPr/>
              <w:t xml:space="preserve">0. 5815 </w:t>
            </w:r>
          </w:p>
        </w:tc>
      </w:tr>
      <w:tr>
        <w:trPr/>
        <w:tc>
          <w:tcPr>
            <w:tcW w:w="1556" w:type="dxa"/>
            <w:tcBorders/>
            <w:vAlign w:val="center"/>
          </w:tcPr>
          <w:p>
            <w:pPr>
              <w:pStyle w:val="TableContents"/>
              <w:bidi w:val="0"/>
              <w:spacing w:before="0" w:after="283"/>
              <w:jc w:val="start"/>
              <w:rPr/>
            </w:pPr>
            <w:r>
              <w:rPr/>
              <w:t xml:space="preserve">Tsunemi Y </w:t>
            </w:r>
          </w:p>
        </w:tc>
        <w:tc>
          <w:tcPr>
            <w:tcW w:w="1124" w:type="dxa"/>
            <w:tcBorders/>
            <w:vAlign w:val="center"/>
          </w:tcPr>
          <w:p>
            <w:pPr>
              <w:pStyle w:val="TableContents"/>
              <w:bidi w:val="0"/>
              <w:spacing w:before="0" w:after="283"/>
              <w:jc w:val="start"/>
              <w:rPr/>
            </w:pPr>
            <w:r>
              <w:rPr/>
              <w:t xml:space="preserve">2002 </w:t>
            </w:r>
          </w:p>
        </w:tc>
        <w:tc>
          <w:tcPr>
            <w:tcW w:w="1042" w:type="dxa"/>
            <w:tcBorders/>
            <w:vAlign w:val="center"/>
          </w:tcPr>
          <w:p>
            <w:pPr>
              <w:pStyle w:val="TableContents"/>
              <w:bidi w:val="0"/>
              <w:spacing w:before="0" w:after="283"/>
              <w:jc w:val="start"/>
              <w:rPr/>
            </w:pPr>
            <w:r>
              <w:rPr/>
              <w:t xml:space="preserve">Japanese </w:t>
            </w:r>
          </w:p>
        </w:tc>
        <w:tc>
          <w:tcPr>
            <w:tcW w:w="1162" w:type="dxa"/>
            <w:tcBorders/>
            <w:vAlign w:val="center"/>
          </w:tcPr>
          <w:p>
            <w:pPr>
              <w:pStyle w:val="TableContents"/>
              <w:bidi w:val="0"/>
              <w:spacing w:before="0" w:after="283"/>
              <w:jc w:val="start"/>
              <w:rPr/>
            </w:pPr>
            <w:r>
              <w:rPr/>
              <w:t xml:space="preserve">Asian </w:t>
            </w:r>
          </w:p>
        </w:tc>
        <w:tc>
          <w:tcPr>
            <w:tcW w:w="3081" w:type="dxa"/>
            <w:tcBorders/>
            <w:vAlign w:val="center"/>
          </w:tcPr>
          <w:p>
            <w:pPr>
              <w:pStyle w:val="TableContents"/>
              <w:bidi w:val="0"/>
              <w:spacing w:before="0" w:after="283"/>
              <w:jc w:val="start"/>
              <w:rPr/>
            </w:pPr>
            <w:r>
              <w:rPr/>
              <w:t xml:space="preserve">– </w:t>
            </w:r>
          </w:p>
        </w:tc>
        <w:tc>
          <w:tcPr>
            <w:tcW w:w="1100" w:type="dxa"/>
            <w:tcBorders/>
            <w:vAlign w:val="center"/>
          </w:tcPr>
          <w:p>
            <w:pPr>
              <w:pStyle w:val="TableContents"/>
              <w:bidi w:val="0"/>
              <w:spacing w:before="0" w:after="283"/>
              <w:jc w:val="start"/>
              <w:rPr/>
            </w:pPr>
            <w:r>
              <w:rPr/>
              <w:t xml:space="preserve">– </w:t>
            </w:r>
          </w:p>
        </w:tc>
        <w:tc>
          <w:tcPr>
            <w:tcW w:w="1106" w:type="dxa"/>
            <w:tcBorders/>
            <w:vAlign w:val="center"/>
          </w:tcPr>
          <w:p>
            <w:pPr>
              <w:pStyle w:val="TableContents"/>
              <w:bidi w:val="0"/>
              <w:spacing w:before="0" w:after="283"/>
              <w:jc w:val="start"/>
              <w:rPr/>
            </w:pPr>
            <w:r>
              <w:rPr/>
              <w:t xml:space="preserve">143/100 </w:t>
            </w:r>
          </w:p>
        </w:tc>
        <w:tc>
          <w:tcPr>
            <w:tcW w:w="277" w:type="dxa"/>
            <w:tcBorders/>
            <w:vAlign w:val="center"/>
          </w:tcPr>
          <w:p>
            <w:pPr>
              <w:pStyle w:val="TableContents"/>
              <w:bidi w:val="0"/>
              <w:spacing w:before="0" w:after="283"/>
              <w:jc w:val="start"/>
              <w:rPr/>
            </w:pPr>
            <w:r>
              <w:rPr/>
              <w:t xml:space="preserve">5 </w:t>
            </w:r>
          </w:p>
        </w:tc>
        <w:tc>
          <w:tcPr>
            <w:tcW w:w="891" w:type="dxa"/>
            <w:tcBorders/>
            <w:vAlign w:val="center"/>
          </w:tcPr>
          <w:p>
            <w:pPr>
              <w:pStyle w:val="TableContents"/>
              <w:bidi w:val="0"/>
              <w:spacing w:before="0" w:after="283"/>
              <w:jc w:val="start"/>
              <w:rPr/>
            </w:pPr>
            <w:r>
              <w:rPr/>
              <w:t xml:space="preserve">0. 3177 </w:t>
            </w:r>
          </w:p>
        </w:tc>
      </w:tr>
    </w:tbl>
    <w:p>
      <w:pPr>
        <w:pStyle w:val="TextBody"/>
        <w:bidi w:val="0"/>
        <w:spacing w:before="0" w:after="283"/>
        <w:jc w:val="start"/>
        <w:rPr/>
      </w:pPr>
      <w:r>
        <w:rPr>
          <w:rStyle w:val="Emphasis"/>
        </w:rPr>
        <w:t xml:space="preserve">P </w:t>
      </w:r>
      <w:r>
        <w:rPr>
          <w:rStyle w:val="Emphasis"/>
          <w:position w:val="-2"/>
          <w:sz w:val="19"/>
        </w:rPr>
        <w:t xml:space="preserve">HWE </w:t>
      </w:r>
      <w:r>
        <w:rPr/>
        <w:t xml:space="preserve">ï¼Œthe result of the test of hardy-weinberg equilibrium </w:t>
      </w:r>
    </w:p>
    <w:p>
      <w:pPr>
        <w:pStyle w:val="TextBody"/>
        <w:bidi w:val="0"/>
        <w:spacing w:before="0" w:after="283"/>
        <w:jc w:val="start"/>
        <w:rPr/>
      </w:pPr>
      <w:r>
        <w:rPr/>
        <w:t xml:space="preserve">Table 2Meta-analysis of the associations between IL-12β rs3212227 polymorphisms and psoriasis </w:t>
      </w:r>
    </w:p>
    <w:tbl>
      <w:tblPr>
        <w:tblW w:w="9457" w:type="dxa"/>
        <w:jc w:val="start"/>
        <w:tblInd w:w="0" w:type="dxa"/>
        <w:tblLayout w:type="fixed"/>
        <w:tblCellMar>
          <w:top w:w="28" w:type="dxa"/>
          <w:start w:w="28" w:type="dxa"/>
          <w:bottom w:w="28" w:type="dxa"/>
          <w:end w:w="28" w:type="dxa"/>
        </w:tblCellMar>
      </w:tblPr>
      <w:tblGrid>
        <w:gridCol w:w="1741"/>
        <w:gridCol w:w="1936"/>
        <w:gridCol w:w="1936"/>
        <w:gridCol w:w="2161"/>
        <w:gridCol w:w="391"/>
        <w:gridCol w:w="646"/>
        <w:gridCol w:w="646"/>
      </w:tblGrid>
      <w:tr>
        <w:trPr/>
        <w:tc>
          <w:tcPr>
            <w:tcW w:w="1741" w:type="dxa"/>
            <w:tcBorders/>
            <w:vAlign w:val="center"/>
          </w:tcPr>
          <w:p>
            <w:pPr>
              <w:pStyle w:val="TableContents"/>
              <w:bidi w:val="0"/>
              <w:spacing w:before="0" w:after="283"/>
              <w:jc w:val="start"/>
              <w:rPr/>
            </w:pPr>
            <w:r>
              <w:rPr/>
              <w:t xml:space="preserve">Polymorphism </w:t>
            </w:r>
          </w:p>
        </w:tc>
        <w:tc>
          <w:tcPr>
            <w:tcW w:w="1936" w:type="dxa"/>
            <w:tcBorders/>
            <w:vAlign w:val="center"/>
          </w:tcPr>
          <w:p>
            <w:pPr>
              <w:pStyle w:val="TableContents"/>
              <w:bidi w:val="0"/>
              <w:spacing w:before="0" w:after="283"/>
              <w:jc w:val="start"/>
              <w:rPr/>
            </w:pPr>
            <w:r>
              <w:rPr/>
              <w:t xml:space="preserve">population </w:t>
            </w:r>
          </w:p>
        </w:tc>
        <w:tc>
          <w:tcPr>
            <w:tcW w:w="1936" w:type="dxa"/>
            <w:tcBorders/>
            <w:vAlign w:val="center"/>
          </w:tcPr>
          <w:p>
            <w:pPr>
              <w:pStyle w:val="TableContents"/>
              <w:bidi w:val="0"/>
              <w:spacing w:before="0" w:after="283"/>
              <w:jc w:val="start"/>
              <w:rPr/>
            </w:pPr>
            <w:r>
              <w:rPr/>
              <w:t xml:space="preserve">Test of association </w:t>
            </w:r>
          </w:p>
        </w:tc>
        <w:tc>
          <w:tcPr>
            <w:tcW w:w="2161" w:type="dxa"/>
            <w:tcBorders/>
            <w:vAlign w:val="center"/>
          </w:tcPr>
          <w:p>
            <w:pPr>
              <w:pStyle w:val="TableContents"/>
              <w:bidi w:val="0"/>
              <w:spacing w:before="0" w:after="283"/>
              <w:jc w:val="start"/>
              <w:rPr/>
            </w:pPr>
            <w:r>
              <w:rPr/>
              <w:t xml:space="preserve">Test of heterogeneity </w:t>
            </w:r>
          </w:p>
        </w:tc>
        <w:tc>
          <w:tcPr>
            <w:tcW w:w="391"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OR (95%CI) </w:t>
            </w:r>
          </w:p>
        </w:tc>
        <w:tc>
          <w:tcPr>
            <w:tcW w:w="1936" w:type="dxa"/>
            <w:tcBorders/>
            <w:vAlign w:val="center"/>
          </w:tcPr>
          <w:p>
            <w:pPr>
              <w:pStyle w:val="TableContents"/>
              <w:bidi w:val="0"/>
              <w:spacing w:before="0" w:after="283"/>
              <w:jc w:val="start"/>
              <w:rPr/>
            </w:pPr>
            <w:r>
              <w:rPr/>
              <w:t xml:space="preserve">p </w:t>
            </w:r>
          </w:p>
        </w:tc>
        <w:tc>
          <w:tcPr>
            <w:tcW w:w="1936" w:type="dxa"/>
            <w:tcBorders/>
            <w:vAlign w:val="center"/>
          </w:tcPr>
          <w:p>
            <w:pPr>
              <w:pStyle w:val="TableContents"/>
              <w:bidi w:val="0"/>
              <w:spacing w:before="0" w:after="283"/>
              <w:jc w:val="start"/>
              <w:rPr>
                <w:sz w:val="4"/>
                <w:szCs w:val="4"/>
              </w:rPr>
            </w:pPr>
            <w:r>
              <w:rPr>
                <w:sz w:val="4"/>
                <w:szCs w:val="4"/>
              </w:rPr>
            </w:r>
          </w:p>
        </w:tc>
        <w:tc>
          <w:tcPr>
            <w:tcW w:w="2161" w:type="dxa"/>
            <w:tcBorders/>
            <w:vAlign w:val="center"/>
          </w:tcPr>
          <w:p>
            <w:pPr>
              <w:pStyle w:val="TableContents"/>
              <w:bidi w:val="0"/>
              <w:spacing w:before="0" w:after="283"/>
              <w:jc w:val="start"/>
              <w:rPr/>
            </w:pPr>
            <w:r>
              <w:rPr/>
              <w:t xml:space="preserve">P </w:t>
            </w:r>
          </w:p>
        </w:tc>
        <w:tc>
          <w:tcPr>
            <w:tcW w:w="391" w:type="dxa"/>
            <w:tcBorders/>
            <w:vAlign w:val="center"/>
          </w:tcPr>
          <w:p>
            <w:pPr>
              <w:pStyle w:val="TableContents"/>
              <w:bidi w:val="0"/>
              <w:spacing w:before="0" w:after="283"/>
              <w:jc w:val="start"/>
              <w:rPr/>
            </w:pPr>
            <w:r>
              <w:rPr/>
              <w:t xml:space="preserve">I </w:t>
            </w:r>
            <w:r>
              <w:rPr>
                <w:position w:val="8"/>
                <w:sz w:val="19"/>
              </w:rPr>
              <w:t xml:space="preserve">2 </w:t>
            </w:r>
          </w:p>
        </w:tc>
        <w:tc>
          <w:tcPr>
            <w:tcW w:w="646"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C vs. A </w:t>
            </w:r>
          </w:p>
        </w:tc>
        <w:tc>
          <w:tcPr>
            <w:tcW w:w="1936" w:type="dxa"/>
            <w:tcBorders/>
            <w:vAlign w:val="center"/>
          </w:tcPr>
          <w:p>
            <w:pPr>
              <w:pStyle w:val="TableContents"/>
              <w:bidi w:val="0"/>
              <w:spacing w:before="0" w:after="283"/>
              <w:jc w:val="start"/>
              <w:rPr/>
            </w:pPr>
            <w:r>
              <w:rPr/>
              <w:t xml:space="preserve">Overall </w:t>
            </w:r>
          </w:p>
        </w:tc>
        <w:tc>
          <w:tcPr>
            <w:tcW w:w="1936" w:type="dxa"/>
            <w:tcBorders/>
            <w:vAlign w:val="center"/>
          </w:tcPr>
          <w:p>
            <w:pPr>
              <w:pStyle w:val="TableContents"/>
              <w:bidi w:val="0"/>
              <w:spacing w:before="0" w:after="283"/>
              <w:jc w:val="start"/>
              <w:rPr/>
            </w:pPr>
            <w:r>
              <w:rPr/>
              <w:t xml:space="preserve">0. 68 (0. 64, 0. 72) </w:t>
            </w:r>
          </w:p>
        </w:tc>
        <w:tc>
          <w:tcPr>
            <w:tcW w:w="2161" w:type="dxa"/>
            <w:tcBorders/>
            <w:vAlign w:val="center"/>
          </w:tcPr>
          <w:p>
            <w:pPr>
              <w:pStyle w:val="TableContents"/>
              <w:bidi w:val="0"/>
              <w:spacing w:before="0" w:after="283"/>
              <w:jc w:val="start"/>
              <w:rPr/>
            </w:pPr>
            <w:r>
              <w:rPr/>
              <w:t xml:space="preserve">&lt;0. 01 </w:t>
            </w:r>
          </w:p>
        </w:tc>
        <w:tc>
          <w:tcPr>
            <w:tcW w:w="39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0. 18 </w:t>
            </w:r>
          </w:p>
        </w:tc>
        <w:tc>
          <w:tcPr>
            <w:tcW w:w="646" w:type="dxa"/>
            <w:tcBorders/>
            <w:vAlign w:val="center"/>
          </w:tcPr>
          <w:p>
            <w:pPr>
              <w:pStyle w:val="TableContents"/>
              <w:bidi w:val="0"/>
              <w:spacing w:before="0" w:after="283"/>
              <w:jc w:val="start"/>
              <w:rPr/>
            </w:pPr>
            <w:r>
              <w:rPr/>
              <w:t xml:space="preserve">27% </w:t>
            </w:r>
          </w:p>
        </w:tc>
      </w:tr>
      <w:tr>
        <w:trPr/>
        <w:tc>
          <w:tcPr>
            <w:tcW w:w="1741"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European </w:t>
            </w:r>
          </w:p>
        </w:tc>
        <w:tc>
          <w:tcPr>
            <w:tcW w:w="1936" w:type="dxa"/>
            <w:tcBorders/>
            <w:vAlign w:val="center"/>
          </w:tcPr>
          <w:p>
            <w:pPr>
              <w:pStyle w:val="TableContents"/>
              <w:bidi w:val="0"/>
              <w:spacing w:before="0" w:after="283"/>
              <w:jc w:val="start"/>
              <w:rPr/>
            </w:pPr>
            <w:r>
              <w:rPr/>
              <w:t xml:space="preserve">0. 66 (0. 61, 0. 70) </w:t>
            </w:r>
          </w:p>
        </w:tc>
        <w:tc>
          <w:tcPr>
            <w:tcW w:w="2161" w:type="dxa"/>
            <w:tcBorders/>
            <w:vAlign w:val="center"/>
          </w:tcPr>
          <w:p>
            <w:pPr>
              <w:pStyle w:val="TableContents"/>
              <w:bidi w:val="0"/>
              <w:spacing w:before="0" w:after="283"/>
              <w:jc w:val="start"/>
              <w:rPr/>
            </w:pPr>
            <w:r>
              <w:rPr/>
              <w:t xml:space="preserve">&lt;0. 01 </w:t>
            </w:r>
          </w:p>
        </w:tc>
        <w:tc>
          <w:tcPr>
            <w:tcW w:w="1683" w:type="dxa"/>
            <w:gridSpan w:val="3"/>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Asian </w:t>
            </w:r>
          </w:p>
        </w:tc>
        <w:tc>
          <w:tcPr>
            <w:tcW w:w="1936" w:type="dxa"/>
            <w:tcBorders/>
            <w:vAlign w:val="center"/>
          </w:tcPr>
          <w:p>
            <w:pPr>
              <w:pStyle w:val="TableContents"/>
              <w:bidi w:val="0"/>
              <w:spacing w:before="0" w:after="283"/>
              <w:jc w:val="start"/>
              <w:rPr/>
            </w:pPr>
            <w:r>
              <w:rPr/>
              <w:t xml:space="preserve">0. 71 (0. 62, 0. 82) </w:t>
            </w:r>
          </w:p>
        </w:tc>
        <w:tc>
          <w:tcPr>
            <w:tcW w:w="1936" w:type="dxa"/>
            <w:tcBorders/>
            <w:vAlign w:val="center"/>
          </w:tcPr>
          <w:p>
            <w:pPr>
              <w:pStyle w:val="TableContents"/>
              <w:bidi w:val="0"/>
              <w:spacing w:before="0" w:after="283"/>
              <w:jc w:val="start"/>
              <w:rPr/>
            </w:pPr>
            <w:r>
              <w:rPr/>
              <w:t xml:space="preserve">&lt;0. 01 </w:t>
            </w:r>
          </w:p>
        </w:tc>
        <w:tc>
          <w:tcPr>
            <w:tcW w:w="3844" w:type="dxa"/>
            <w:gridSpan w:val="4"/>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CC+AC vs. AA </w:t>
            </w:r>
          </w:p>
        </w:tc>
        <w:tc>
          <w:tcPr>
            <w:tcW w:w="1936" w:type="dxa"/>
            <w:tcBorders/>
            <w:vAlign w:val="center"/>
          </w:tcPr>
          <w:p>
            <w:pPr>
              <w:pStyle w:val="TableContents"/>
              <w:bidi w:val="0"/>
              <w:spacing w:before="0" w:after="283"/>
              <w:jc w:val="start"/>
              <w:rPr/>
            </w:pPr>
            <w:r>
              <w:rPr/>
              <w:t xml:space="preserve">Overall </w:t>
            </w:r>
          </w:p>
        </w:tc>
        <w:tc>
          <w:tcPr>
            <w:tcW w:w="1936" w:type="dxa"/>
            <w:tcBorders/>
            <w:vAlign w:val="center"/>
          </w:tcPr>
          <w:p>
            <w:pPr>
              <w:pStyle w:val="TableContents"/>
              <w:bidi w:val="0"/>
              <w:spacing w:before="0" w:after="283"/>
              <w:jc w:val="start"/>
              <w:rPr/>
            </w:pPr>
            <w:r>
              <w:rPr/>
              <w:t xml:space="preserve">0. 61 (0. 53, 0. 71) </w:t>
            </w:r>
          </w:p>
        </w:tc>
        <w:tc>
          <w:tcPr>
            <w:tcW w:w="2161" w:type="dxa"/>
            <w:tcBorders/>
            <w:vAlign w:val="center"/>
          </w:tcPr>
          <w:p>
            <w:pPr>
              <w:pStyle w:val="TableContents"/>
              <w:bidi w:val="0"/>
              <w:spacing w:before="0" w:after="283"/>
              <w:jc w:val="start"/>
              <w:rPr/>
            </w:pPr>
            <w:r>
              <w:rPr/>
              <w:t xml:space="preserve">&lt;0. 01 </w:t>
            </w:r>
          </w:p>
        </w:tc>
        <w:tc>
          <w:tcPr>
            <w:tcW w:w="39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0. 02 </w:t>
            </w:r>
          </w:p>
        </w:tc>
        <w:tc>
          <w:tcPr>
            <w:tcW w:w="646" w:type="dxa"/>
            <w:tcBorders/>
            <w:vAlign w:val="center"/>
          </w:tcPr>
          <w:p>
            <w:pPr>
              <w:pStyle w:val="TableContents"/>
              <w:bidi w:val="0"/>
              <w:spacing w:before="0" w:after="283"/>
              <w:jc w:val="start"/>
              <w:rPr/>
            </w:pPr>
            <w:r>
              <w:rPr/>
              <w:t xml:space="preserve">57% </w:t>
            </w:r>
          </w:p>
        </w:tc>
      </w:tr>
      <w:tr>
        <w:trPr/>
        <w:tc>
          <w:tcPr>
            <w:tcW w:w="1741"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European </w:t>
            </w:r>
          </w:p>
        </w:tc>
        <w:tc>
          <w:tcPr>
            <w:tcW w:w="1936" w:type="dxa"/>
            <w:tcBorders/>
            <w:vAlign w:val="center"/>
          </w:tcPr>
          <w:p>
            <w:pPr>
              <w:pStyle w:val="TableContents"/>
              <w:bidi w:val="0"/>
              <w:spacing w:before="0" w:after="283"/>
              <w:jc w:val="start"/>
              <w:rPr/>
            </w:pPr>
            <w:r>
              <w:rPr/>
              <w:t xml:space="preserve">0. 62 (0. 52, 0. 73) </w:t>
            </w:r>
          </w:p>
        </w:tc>
        <w:tc>
          <w:tcPr>
            <w:tcW w:w="2161" w:type="dxa"/>
            <w:tcBorders/>
            <w:vAlign w:val="center"/>
          </w:tcPr>
          <w:p>
            <w:pPr>
              <w:pStyle w:val="TableContents"/>
              <w:bidi w:val="0"/>
              <w:spacing w:before="0" w:after="283"/>
              <w:jc w:val="start"/>
              <w:rPr/>
            </w:pPr>
            <w:r>
              <w:rPr/>
              <w:t xml:space="preserve">&lt;0. 01 </w:t>
            </w:r>
          </w:p>
        </w:tc>
        <w:tc>
          <w:tcPr>
            <w:tcW w:w="1683" w:type="dxa"/>
            <w:gridSpan w:val="3"/>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Asian </w:t>
            </w:r>
          </w:p>
        </w:tc>
        <w:tc>
          <w:tcPr>
            <w:tcW w:w="1936" w:type="dxa"/>
            <w:tcBorders/>
            <w:vAlign w:val="center"/>
          </w:tcPr>
          <w:p>
            <w:pPr>
              <w:pStyle w:val="TableContents"/>
              <w:bidi w:val="0"/>
              <w:spacing w:before="0" w:after="283"/>
              <w:jc w:val="start"/>
              <w:rPr/>
            </w:pPr>
            <w:r>
              <w:rPr/>
              <w:t xml:space="preserve">0. 45 (0. 25, 0. 82) </w:t>
            </w:r>
          </w:p>
        </w:tc>
        <w:tc>
          <w:tcPr>
            <w:tcW w:w="1936" w:type="dxa"/>
            <w:tcBorders/>
            <w:vAlign w:val="center"/>
          </w:tcPr>
          <w:p>
            <w:pPr>
              <w:pStyle w:val="TableContents"/>
              <w:bidi w:val="0"/>
              <w:spacing w:before="0" w:after="283"/>
              <w:jc w:val="start"/>
              <w:rPr/>
            </w:pPr>
            <w:r>
              <w:rPr/>
              <w:t xml:space="preserve">&lt;0. 01 </w:t>
            </w:r>
          </w:p>
        </w:tc>
        <w:tc>
          <w:tcPr>
            <w:tcW w:w="3844" w:type="dxa"/>
            <w:gridSpan w:val="4"/>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CC vs. AC+AA </w:t>
            </w:r>
          </w:p>
        </w:tc>
        <w:tc>
          <w:tcPr>
            <w:tcW w:w="1936" w:type="dxa"/>
            <w:tcBorders/>
            <w:vAlign w:val="center"/>
          </w:tcPr>
          <w:p>
            <w:pPr>
              <w:pStyle w:val="TableContents"/>
              <w:bidi w:val="0"/>
              <w:spacing w:before="0" w:after="283"/>
              <w:jc w:val="start"/>
              <w:rPr/>
            </w:pPr>
            <w:r>
              <w:rPr/>
              <w:t xml:space="preserve">Overall </w:t>
            </w:r>
          </w:p>
        </w:tc>
        <w:tc>
          <w:tcPr>
            <w:tcW w:w="1936" w:type="dxa"/>
            <w:tcBorders/>
            <w:vAlign w:val="center"/>
          </w:tcPr>
          <w:p>
            <w:pPr>
              <w:pStyle w:val="TableContents"/>
              <w:bidi w:val="0"/>
              <w:spacing w:before="0" w:after="283"/>
              <w:jc w:val="start"/>
              <w:rPr/>
            </w:pPr>
            <w:r>
              <w:rPr/>
              <w:t xml:space="preserve">0. 53 (0. 43, 0. 66) </w:t>
            </w:r>
          </w:p>
        </w:tc>
        <w:tc>
          <w:tcPr>
            <w:tcW w:w="2161" w:type="dxa"/>
            <w:tcBorders/>
            <w:vAlign w:val="center"/>
          </w:tcPr>
          <w:p>
            <w:pPr>
              <w:pStyle w:val="TableContents"/>
              <w:bidi w:val="0"/>
              <w:spacing w:before="0" w:after="283"/>
              <w:jc w:val="start"/>
              <w:rPr/>
            </w:pPr>
            <w:r>
              <w:rPr/>
              <w:t xml:space="preserve">&lt;0. 01 </w:t>
            </w:r>
          </w:p>
        </w:tc>
        <w:tc>
          <w:tcPr>
            <w:tcW w:w="39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0. 85 </w:t>
            </w:r>
          </w:p>
        </w:tc>
        <w:tc>
          <w:tcPr>
            <w:tcW w:w="646" w:type="dxa"/>
            <w:tcBorders/>
            <w:vAlign w:val="center"/>
          </w:tcPr>
          <w:p>
            <w:pPr>
              <w:pStyle w:val="TableContents"/>
              <w:bidi w:val="0"/>
              <w:spacing w:before="0" w:after="283"/>
              <w:jc w:val="start"/>
              <w:rPr/>
            </w:pPr>
            <w:r>
              <w:rPr/>
              <w:t xml:space="preserve">0% </w:t>
            </w:r>
          </w:p>
        </w:tc>
      </w:tr>
      <w:tr>
        <w:trPr/>
        <w:tc>
          <w:tcPr>
            <w:tcW w:w="1741"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European </w:t>
            </w:r>
          </w:p>
        </w:tc>
        <w:tc>
          <w:tcPr>
            <w:tcW w:w="1936" w:type="dxa"/>
            <w:tcBorders/>
            <w:vAlign w:val="center"/>
          </w:tcPr>
          <w:p>
            <w:pPr>
              <w:pStyle w:val="TableContents"/>
              <w:bidi w:val="0"/>
              <w:spacing w:before="0" w:after="283"/>
              <w:jc w:val="start"/>
              <w:rPr/>
            </w:pPr>
            <w:r>
              <w:rPr/>
              <w:t xml:space="preserve">0. 48 (0. 36, 0. 64) </w:t>
            </w:r>
          </w:p>
        </w:tc>
        <w:tc>
          <w:tcPr>
            <w:tcW w:w="2161" w:type="dxa"/>
            <w:tcBorders/>
            <w:vAlign w:val="center"/>
          </w:tcPr>
          <w:p>
            <w:pPr>
              <w:pStyle w:val="TableContents"/>
              <w:bidi w:val="0"/>
              <w:spacing w:before="0" w:after="283"/>
              <w:jc w:val="start"/>
              <w:rPr/>
            </w:pPr>
            <w:r>
              <w:rPr/>
              <w:t xml:space="preserve">&lt;0. 01 </w:t>
            </w:r>
          </w:p>
        </w:tc>
        <w:tc>
          <w:tcPr>
            <w:tcW w:w="1683" w:type="dxa"/>
            <w:gridSpan w:val="3"/>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Asian </w:t>
            </w:r>
          </w:p>
        </w:tc>
        <w:tc>
          <w:tcPr>
            <w:tcW w:w="1936" w:type="dxa"/>
            <w:tcBorders/>
            <w:vAlign w:val="center"/>
          </w:tcPr>
          <w:p>
            <w:pPr>
              <w:pStyle w:val="TableContents"/>
              <w:bidi w:val="0"/>
              <w:spacing w:before="0" w:after="283"/>
              <w:jc w:val="start"/>
              <w:rPr/>
            </w:pPr>
            <w:r>
              <w:rPr/>
              <w:t xml:space="preserve">0. 56 (0. 36, 0. 85) </w:t>
            </w:r>
          </w:p>
        </w:tc>
        <w:tc>
          <w:tcPr>
            <w:tcW w:w="1936" w:type="dxa"/>
            <w:tcBorders/>
            <w:vAlign w:val="center"/>
          </w:tcPr>
          <w:p>
            <w:pPr>
              <w:pStyle w:val="TableContents"/>
              <w:bidi w:val="0"/>
              <w:spacing w:before="0" w:after="283"/>
              <w:jc w:val="start"/>
              <w:rPr/>
            </w:pPr>
            <w:r>
              <w:rPr/>
              <w:t xml:space="preserve">&lt;0. 01 </w:t>
            </w:r>
          </w:p>
        </w:tc>
        <w:tc>
          <w:tcPr>
            <w:tcW w:w="3844" w:type="dxa"/>
            <w:gridSpan w:val="4"/>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CC vs. AA </w:t>
            </w:r>
          </w:p>
        </w:tc>
        <w:tc>
          <w:tcPr>
            <w:tcW w:w="1936" w:type="dxa"/>
            <w:tcBorders/>
            <w:vAlign w:val="center"/>
          </w:tcPr>
          <w:p>
            <w:pPr>
              <w:pStyle w:val="TableContents"/>
              <w:bidi w:val="0"/>
              <w:spacing w:before="0" w:after="283"/>
              <w:jc w:val="start"/>
              <w:rPr/>
            </w:pPr>
            <w:r>
              <w:rPr/>
              <w:t xml:space="preserve">Overall </w:t>
            </w:r>
          </w:p>
        </w:tc>
        <w:tc>
          <w:tcPr>
            <w:tcW w:w="1936" w:type="dxa"/>
            <w:tcBorders/>
            <w:vAlign w:val="center"/>
          </w:tcPr>
          <w:p>
            <w:pPr>
              <w:pStyle w:val="TableContents"/>
              <w:bidi w:val="0"/>
              <w:spacing w:before="0" w:after="283"/>
              <w:jc w:val="start"/>
              <w:rPr/>
            </w:pPr>
            <w:r>
              <w:rPr/>
              <w:t xml:space="preserve">0. 46 (0. 36, 0. 57) </w:t>
            </w:r>
          </w:p>
        </w:tc>
        <w:tc>
          <w:tcPr>
            <w:tcW w:w="2161" w:type="dxa"/>
            <w:tcBorders/>
            <w:vAlign w:val="center"/>
          </w:tcPr>
          <w:p>
            <w:pPr>
              <w:pStyle w:val="TableContents"/>
              <w:bidi w:val="0"/>
              <w:spacing w:before="0" w:after="283"/>
              <w:jc w:val="start"/>
              <w:rPr/>
            </w:pPr>
            <w:r>
              <w:rPr/>
              <w:t xml:space="preserve">&lt;0. 01 </w:t>
            </w:r>
          </w:p>
        </w:tc>
        <w:tc>
          <w:tcPr>
            <w:tcW w:w="39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0. 78 </w:t>
            </w:r>
          </w:p>
        </w:tc>
        <w:tc>
          <w:tcPr>
            <w:tcW w:w="646" w:type="dxa"/>
            <w:tcBorders/>
            <w:vAlign w:val="center"/>
          </w:tcPr>
          <w:p>
            <w:pPr>
              <w:pStyle w:val="TableContents"/>
              <w:bidi w:val="0"/>
              <w:spacing w:before="0" w:after="283"/>
              <w:jc w:val="start"/>
              <w:rPr/>
            </w:pPr>
            <w:r>
              <w:rPr/>
              <w:t xml:space="preserve">0% </w:t>
            </w:r>
          </w:p>
        </w:tc>
      </w:tr>
      <w:tr>
        <w:trPr/>
        <w:tc>
          <w:tcPr>
            <w:tcW w:w="1741"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European </w:t>
            </w:r>
          </w:p>
        </w:tc>
        <w:tc>
          <w:tcPr>
            <w:tcW w:w="1936" w:type="dxa"/>
            <w:tcBorders/>
            <w:vAlign w:val="center"/>
          </w:tcPr>
          <w:p>
            <w:pPr>
              <w:pStyle w:val="TableContents"/>
              <w:bidi w:val="0"/>
              <w:spacing w:before="0" w:after="283"/>
              <w:jc w:val="start"/>
              <w:rPr/>
            </w:pPr>
            <w:r>
              <w:rPr/>
              <w:t xml:space="preserve">0. 42 (0. 31, 0. 56) </w:t>
            </w:r>
          </w:p>
        </w:tc>
        <w:tc>
          <w:tcPr>
            <w:tcW w:w="2161" w:type="dxa"/>
            <w:tcBorders/>
            <w:vAlign w:val="center"/>
          </w:tcPr>
          <w:p>
            <w:pPr>
              <w:pStyle w:val="TableContents"/>
              <w:bidi w:val="0"/>
              <w:spacing w:before="0" w:after="283"/>
              <w:jc w:val="start"/>
              <w:rPr/>
            </w:pPr>
            <w:r>
              <w:rPr/>
              <w:t xml:space="preserve">&lt;0. 01 </w:t>
            </w:r>
          </w:p>
        </w:tc>
        <w:tc>
          <w:tcPr>
            <w:tcW w:w="1683" w:type="dxa"/>
            <w:gridSpan w:val="3"/>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Asian </w:t>
            </w:r>
          </w:p>
        </w:tc>
        <w:tc>
          <w:tcPr>
            <w:tcW w:w="1936" w:type="dxa"/>
            <w:tcBorders/>
            <w:vAlign w:val="center"/>
          </w:tcPr>
          <w:p>
            <w:pPr>
              <w:pStyle w:val="TableContents"/>
              <w:bidi w:val="0"/>
              <w:spacing w:before="0" w:after="283"/>
              <w:jc w:val="start"/>
              <w:rPr/>
            </w:pPr>
            <w:r>
              <w:rPr/>
              <w:t xml:space="preserve">0. 43 (0. 26, 0. 70) </w:t>
            </w:r>
          </w:p>
        </w:tc>
        <w:tc>
          <w:tcPr>
            <w:tcW w:w="1936" w:type="dxa"/>
            <w:tcBorders/>
            <w:vAlign w:val="center"/>
          </w:tcPr>
          <w:p>
            <w:pPr>
              <w:pStyle w:val="TableContents"/>
              <w:bidi w:val="0"/>
              <w:spacing w:before="0" w:after="283"/>
              <w:jc w:val="start"/>
              <w:rPr/>
            </w:pPr>
            <w:r>
              <w:rPr/>
              <w:t xml:space="preserve">&lt;0. 01 </w:t>
            </w:r>
          </w:p>
        </w:tc>
        <w:tc>
          <w:tcPr>
            <w:tcW w:w="3844" w:type="dxa"/>
            <w:gridSpan w:val="4"/>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AC vs. AA </w:t>
            </w:r>
          </w:p>
        </w:tc>
        <w:tc>
          <w:tcPr>
            <w:tcW w:w="1936" w:type="dxa"/>
            <w:tcBorders/>
            <w:vAlign w:val="center"/>
          </w:tcPr>
          <w:p>
            <w:pPr>
              <w:pStyle w:val="TableContents"/>
              <w:bidi w:val="0"/>
              <w:spacing w:before="0" w:after="283"/>
              <w:jc w:val="start"/>
              <w:rPr/>
            </w:pPr>
            <w:r>
              <w:rPr/>
              <w:t xml:space="preserve">Overall </w:t>
            </w:r>
          </w:p>
        </w:tc>
        <w:tc>
          <w:tcPr>
            <w:tcW w:w="1936" w:type="dxa"/>
            <w:tcBorders/>
            <w:vAlign w:val="center"/>
          </w:tcPr>
          <w:p>
            <w:pPr>
              <w:pStyle w:val="TableContents"/>
              <w:bidi w:val="0"/>
              <w:spacing w:before="0" w:after="283"/>
              <w:jc w:val="start"/>
              <w:rPr/>
            </w:pPr>
            <w:r>
              <w:rPr/>
              <w:t xml:space="preserve">0. 65 (0. 59, 0. 71) </w:t>
            </w:r>
          </w:p>
        </w:tc>
        <w:tc>
          <w:tcPr>
            <w:tcW w:w="2161" w:type="dxa"/>
            <w:tcBorders/>
            <w:vAlign w:val="center"/>
          </w:tcPr>
          <w:p>
            <w:pPr>
              <w:pStyle w:val="TableContents"/>
              <w:bidi w:val="0"/>
              <w:spacing w:before="0" w:after="283"/>
              <w:jc w:val="start"/>
              <w:rPr/>
            </w:pPr>
            <w:r>
              <w:rPr/>
              <w:t xml:space="preserve">&lt;0. 01 </w:t>
            </w:r>
          </w:p>
        </w:tc>
        <w:tc>
          <w:tcPr>
            <w:tcW w:w="39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0. 16 </w:t>
            </w:r>
          </w:p>
        </w:tc>
        <w:tc>
          <w:tcPr>
            <w:tcW w:w="646" w:type="dxa"/>
            <w:tcBorders/>
            <w:vAlign w:val="center"/>
          </w:tcPr>
          <w:p>
            <w:pPr>
              <w:pStyle w:val="TableContents"/>
              <w:bidi w:val="0"/>
              <w:spacing w:before="0" w:after="283"/>
              <w:jc w:val="start"/>
              <w:rPr/>
            </w:pPr>
            <w:r>
              <w:rPr/>
              <w:t xml:space="preserve">33% </w:t>
            </w:r>
          </w:p>
        </w:tc>
      </w:tr>
      <w:tr>
        <w:trPr/>
        <w:tc>
          <w:tcPr>
            <w:tcW w:w="1741"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European </w:t>
            </w:r>
          </w:p>
        </w:tc>
        <w:tc>
          <w:tcPr>
            <w:tcW w:w="1936" w:type="dxa"/>
            <w:tcBorders/>
            <w:vAlign w:val="center"/>
          </w:tcPr>
          <w:p>
            <w:pPr>
              <w:pStyle w:val="TableContents"/>
              <w:bidi w:val="0"/>
              <w:spacing w:before="0" w:after="283"/>
              <w:jc w:val="start"/>
              <w:rPr/>
            </w:pPr>
            <w:r>
              <w:rPr/>
              <w:t xml:space="preserve">0. 62(0. 56, 0. 69) </w:t>
            </w:r>
          </w:p>
        </w:tc>
        <w:tc>
          <w:tcPr>
            <w:tcW w:w="2161" w:type="dxa"/>
            <w:tcBorders/>
            <w:vAlign w:val="center"/>
          </w:tcPr>
          <w:p>
            <w:pPr>
              <w:pStyle w:val="TableContents"/>
              <w:bidi w:val="0"/>
              <w:spacing w:before="0" w:after="283"/>
              <w:jc w:val="start"/>
              <w:rPr/>
            </w:pPr>
            <w:r>
              <w:rPr/>
              <w:t xml:space="preserve">&lt;0. 01 </w:t>
            </w:r>
          </w:p>
        </w:tc>
        <w:tc>
          <w:tcPr>
            <w:tcW w:w="1683" w:type="dxa"/>
            <w:gridSpan w:val="3"/>
            <w:tcBorders/>
          </w:tcPr>
          <w:p>
            <w:pPr>
              <w:pStyle w:val="TableContents"/>
              <w:bidi w:val="0"/>
              <w:spacing w:before="0" w:after="283"/>
              <w:jc w:val="start"/>
              <w:rPr>
                <w:sz w:val="4"/>
                <w:szCs w:val="4"/>
              </w:rPr>
            </w:pPr>
            <w:r>
              <w:rPr>
                <w:sz w:val="4"/>
                <w:szCs w:val="4"/>
              </w:rPr>
            </w:r>
          </w:p>
        </w:tc>
      </w:tr>
      <w:tr>
        <w:trPr/>
        <w:tc>
          <w:tcPr>
            <w:tcW w:w="1741" w:type="dxa"/>
            <w:tcBorders/>
            <w:vAlign w:val="center"/>
          </w:tcPr>
          <w:p>
            <w:pPr>
              <w:pStyle w:val="TableContents"/>
              <w:bidi w:val="0"/>
              <w:spacing w:before="0" w:after="283"/>
              <w:jc w:val="start"/>
              <w:rPr/>
            </w:pPr>
            <w:r>
              <w:rPr/>
              <w:t xml:space="preserve">Asian </w:t>
            </w:r>
          </w:p>
        </w:tc>
        <w:tc>
          <w:tcPr>
            <w:tcW w:w="1936" w:type="dxa"/>
            <w:tcBorders/>
            <w:vAlign w:val="center"/>
          </w:tcPr>
          <w:p>
            <w:pPr>
              <w:pStyle w:val="TableContents"/>
              <w:bidi w:val="0"/>
              <w:spacing w:before="0" w:after="283"/>
              <w:jc w:val="start"/>
              <w:rPr/>
            </w:pPr>
            <w:r>
              <w:rPr/>
              <w:t xml:space="preserve">0. 66 (0. 44, 0. 98) </w:t>
            </w:r>
          </w:p>
        </w:tc>
        <w:tc>
          <w:tcPr>
            <w:tcW w:w="1936" w:type="dxa"/>
            <w:tcBorders/>
            <w:vAlign w:val="center"/>
          </w:tcPr>
          <w:p>
            <w:pPr>
              <w:pStyle w:val="TableContents"/>
              <w:bidi w:val="0"/>
              <w:spacing w:before="0" w:after="283"/>
              <w:jc w:val="start"/>
              <w:rPr/>
            </w:pPr>
            <w:r>
              <w:rPr/>
              <w:t xml:space="preserve">&lt;0. 01 </w:t>
            </w:r>
          </w:p>
        </w:tc>
        <w:tc>
          <w:tcPr>
            <w:tcW w:w="3844" w:type="dxa"/>
            <w:gridSpan w:val="4"/>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Figure legends </w:t>
      </w:r>
    </w:p>
    <w:p>
      <w:pPr>
        <w:pStyle w:val="TextBody"/>
        <w:bidi w:val="0"/>
        <w:spacing w:before="0" w:after="283"/>
        <w:jc w:val="start"/>
        <w:rPr/>
      </w:pPr>
      <w:r>
        <w:rPr/>
        <w:t xml:space="preserve">Fig. 1Selection of relevant publications, reasons for exclusion. </w:t>
      </w:r>
    </w:p>
    <w:p>
      <w:pPr>
        <w:pStyle w:val="TextBody"/>
        <w:bidi w:val="0"/>
        <w:spacing w:before="0" w:after="283"/>
        <w:jc w:val="start"/>
        <w:rPr/>
      </w:pPr>
      <w:r>
        <w:rPr/>
        <w:t xml:space="preserve">Fig. 2Forest plot displaying the results of the meta-analysis on the genotype of C vs. A </w:t>
      </w:r>
    </w:p>
    <w:p>
      <w:pPr>
        <w:pStyle w:val="TextBody"/>
        <w:bidi w:val="0"/>
        <w:spacing w:before="0" w:after="283"/>
        <w:jc w:val="start"/>
        <w:rPr/>
      </w:pPr>
      <w:r>
        <w:rPr/>
        <w:t xml:space="preserve">Fig. 3Funnel plot analysis of publication bias. </w:t>
      </w:r>
    </w:p>
    <w:p>
      <w:pPr>
        <w:pStyle w:val="TextBody"/>
        <w:bidi w:val="0"/>
        <w:spacing w:before="0" w:after="283"/>
        <w:jc w:val="start"/>
        <w:rPr/>
      </w:pPr>
      <w:r>
        <w:rPr/>
        <w:t xml:space="preserve">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https://assignbuster.com/association-of-il-12-rs3212227-and-psoriasis/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Association of il-12β rs3212227 and psor...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ion-of-il-12-rs3212227-and-psori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of il-12β rs3212227 and psoriasis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il-12β rs3212227 and psoriasis</dc:title>
  <dc:subject>Others;</dc:subject>
  <dc:creator>AssignBuster</dc:creator>
  <cp:keywords/>
  <dc:description>The meta-analysis was conducted on the associations between IL-12 rs3212227 polymorphism and the risk of psoriasis.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