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H.pylori virulence factors with gastric cancer</w:t>
        </w:r>
      </w:hyperlink>
      <w:bookmarkEnd w:id="0"/>
    </w:p>
    <w:p>
      <w:r>
        <w:br w:type="page"/>
      </w:r>
    </w:p>
    <w:p>
      <w:pPr>
        <w:pStyle w:val="TextBody"/>
        <w:bidi w:val="0"/>
        <w:jc w:val="start"/>
        <w:rPr/>
      </w:pPr>
      <w:r>
        <w:rPr/>
        <w:t xml:space="preserve">The Relationship between </w:t>
      </w:r>
      <w:r>
        <w:rPr>
          <w:rStyle w:val="Emphasis"/>
        </w:rPr>
        <w:t xml:space="preserve">cagH </w:t>
      </w:r>
      <w:r>
        <w:rPr/>
        <w:t xml:space="preserve">, </w:t>
      </w:r>
      <w:r>
        <w:rPr>
          <w:rStyle w:val="Emphasis"/>
        </w:rPr>
        <w:t xml:space="preserve">cagL, cagG, </w:t>
      </w:r>
      <w:r>
        <w:rPr/>
        <w:t xml:space="preserve">and </w:t>
      </w:r>
      <w:r>
        <w:rPr>
          <w:rStyle w:val="Emphasis"/>
        </w:rPr>
        <w:t xml:space="preserve">orf17 </w:t>
      </w:r>
      <w:r>
        <w:rPr/>
        <w:t xml:space="preserve">Genotypes of </w:t>
      </w:r>
      <w:r>
        <w:rPr>
          <w:rStyle w:val="Emphasis"/>
        </w:rPr>
        <w:t xml:space="preserve">Helicobacter pylori cag </w:t>
      </w:r>
      <w:r>
        <w:rPr/>
        <w:t xml:space="preserve">Pathogenicity Island with Peptic Ulcerations and Gastric Cancer </w:t>
      </w:r>
    </w:p>
    <w:p>
      <w:pPr>
        <w:pStyle w:val="TextBody"/>
        <w:numPr>
          <w:ilvl w:val="0"/>
          <w:numId w:val="1"/>
        </w:numPr>
        <w:tabs>
          <w:tab w:val="clear" w:pos="1134"/>
          <w:tab w:val="left" w:pos="709" w:leader="none"/>
        </w:tabs>
        <w:bidi w:val="0"/>
        <w:ind w:start="709" w:hanging="283"/>
        <w:jc w:val="start"/>
        <w:rPr/>
      </w:pPr>
      <w:r>
        <w:rPr/>
        <w:t xml:space="preserve">Negin Raei*, Saeid Latifi-Navid, Saber Zahri </w:t>
      </w:r>
    </w:p>
    <w:p>
      <w:pPr>
        <w:pStyle w:val="Heading3"/>
        <w:bidi w:val="0"/>
        <w:jc w:val="start"/>
        <w:rPr/>
      </w:pPr>
      <w:r>
        <w:rPr/>
        <w:t xml:space="preserve">Abstract </w:t>
      </w:r>
    </w:p>
    <w:p>
      <w:pPr>
        <w:pStyle w:val="TextBody"/>
        <w:bidi w:val="0"/>
        <w:spacing w:before="0" w:after="283"/>
        <w:jc w:val="start"/>
        <w:rPr/>
      </w:pPr>
      <w:r>
        <w:rPr>
          <w:rStyle w:val="Emphasis"/>
        </w:rPr>
        <w:t xml:space="preserve">Helicobacter pylori </w:t>
      </w:r>
      <w:r>
        <w:rPr/>
        <w:t xml:space="preserve">( </w:t>
      </w:r>
      <w:r>
        <w:rPr>
          <w:rStyle w:val="Emphasis"/>
        </w:rPr>
        <w:t xml:space="preserve">H. pylori </w:t>
      </w:r>
      <w:r>
        <w:rPr/>
        <w:t xml:space="preserve">) specific genotypes have been correlated with an increased risk of gastrointestinal disease in Iran. The aim of this study was finding the relevance of </w:t>
      </w:r>
      <w:r>
        <w:rPr>
          <w:rStyle w:val="Emphasis"/>
        </w:rPr>
        <w:t xml:space="preserve">H. pylori </w:t>
      </w:r>
      <w:r>
        <w:rPr/>
        <w:t xml:space="preserve">virulence factors ( </w:t>
      </w:r>
      <w:r>
        <w:rPr>
          <w:rStyle w:val="Emphasis"/>
        </w:rPr>
        <w:t xml:space="preserve">cagH </w:t>
      </w:r>
      <w:r>
        <w:rPr/>
        <w:t xml:space="preserve">, </w:t>
      </w:r>
      <w:r>
        <w:rPr>
          <w:rStyle w:val="Emphasis"/>
        </w:rPr>
        <w:t xml:space="preserve">cagL </w:t>
      </w:r>
      <w:r>
        <w:rPr/>
        <w:t xml:space="preserve">, </w:t>
      </w:r>
      <w:r>
        <w:rPr>
          <w:rStyle w:val="Emphasis"/>
        </w:rPr>
        <w:t xml:space="preserve">cagG </w:t>
      </w:r>
      <w:r>
        <w:rPr/>
        <w:t xml:space="preserve">, and </w:t>
      </w:r>
      <w:r>
        <w:rPr>
          <w:rStyle w:val="Emphasis"/>
        </w:rPr>
        <w:t xml:space="preserve">orf17 </w:t>
      </w:r>
      <w:r>
        <w:rPr/>
        <w:t xml:space="preserve">) with gastric cancer (GC) and peptic ulcerations (PU) in Iran. The </w:t>
      </w:r>
      <w:r>
        <w:rPr>
          <w:rStyle w:val="Emphasis"/>
        </w:rPr>
        <w:t xml:space="preserve">H. pylori </w:t>
      </w:r>
      <w:r>
        <w:rPr/>
        <w:t xml:space="preserve">strains were isolated from different ethnic and geographic origin within Iran and genotyped. Overall, the frequency of </w:t>
      </w:r>
      <w:r>
        <w:rPr>
          <w:rStyle w:val="Emphasis"/>
        </w:rPr>
        <w:t xml:space="preserve">cagH </w:t>
      </w:r>
      <w:r>
        <w:rPr/>
        <w:t xml:space="preserve">, </w:t>
      </w:r>
      <w:r>
        <w:rPr>
          <w:rStyle w:val="Emphasis"/>
        </w:rPr>
        <w:t xml:space="preserve">cagL </w:t>
      </w:r>
      <w:r>
        <w:rPr/>
        <w:t xml:space="preserve">, </w:t>
      </w:r>
      <w:r>
        <w:rPr>
          <w:rStyle w:val="Emphasis"/>
        </w:rPr>
        <w:t xml:space="preserve">orf17 </w:t>
      </w:r>
      <w:r>
        <w:rPr/>
        <w:t xml:space="preserve">, and </w:t>
      </w:r>
      <w:r>
        <w:rPr>
          <w:rStyle w:val="Emphasis"/>
        </w:rPr>
        <w:t xml:space="preserve">cagG </w:t>
      </w:r>
      <w:r>
        <w:rPr/>
        <w:t xml:space="preserve">genotypes was 74. 1%, 98%, 79. 9%, and 70. 4% in patients with PU, respectively, while in non-atrophic gastritis (NAG) the frequency was 59. 6% for </w:t>
      </w:r>
      <w:r>
        <w:rPr>
          <w:rStyle w:val="Emphasis"/>
        </w:rPr>
        <w:t xml:space="preserve">cagH </w:t>
      </w:r>
      <w:r>
        <w:rPr/>
        <w:t xml:space="preserve">, 82. 6% for </w:t>
      </w:r>
      <w:r>
        <w:rPr>
          <w:rStyle w:val="Emphasis"/>
        </w:rPr>
        <w:t xml:space="preserve">cagL </w:t>
      </w:r>
      <w:r>
        <w:rPr/>
        <w:t xml:space="preserve">, 61% for </w:t>
      </w:r>
      <w:r>
        <w:rPr>
          <w:rStyle w:val="Emphasis"/>
        </w:rPr>
        <w:t xml:space="preserve">orf17 </w:t>
      </w:r>
      <w:r>
        <w:rPr/>
        <w:t xml:space="preserve">, and 74. 7% for </w:t>
      </w:r>
      <w:r>
        <w:rPr>
          <w:rStyle w:val="Emphasis"/>
        </w:rPr>
        <w:t xml:space="preserve">cagG </w:t>
      </w:r>
      <w:r>
        <w:rPr/>
        <w:t xml:space="preserve">. The frequency of </w:t>
      </w:r>
      <w:r>
        <w:rPr>
          <w:rStyle w:val="Emphasis"/>
        </w:rPr>
        <w:t xml:space="preserve">cagH </w:t>
      </w:r>
      <w:r>
        <w:rPr/>
        <w:t xml:space="preserve">, </w:t>
      </w:r>
      <w:r>
        <w:rPr>
          <w:rStyle w:val="Emphasis"/>
        </w:rPr>
        <w:t xml:space="preserve">cagL </w:t>
      </w:r>
      <w:r>
        <w:rPr/>
        <w:t xml:space="preserve">, </w:t>
      </w:r>
      <w:r>
        <w:rPr>
          <w:rStyle w:val="Emphasis"/>
        </w:rPr>
        <w:t xml:space="preserve">cagG </w:t>
      </w:r>
      <w:r>
        <w:rPr/>
        <w:t xml:space="preserve">, and </w:t>
      </w:r>
      <w:r>
        <w:rPr>
          <w:rStyle w:val="Emphasis"/>
        </w:rPr>
        <w:t xml:space="preserve">orf17 </w:t>
      </w:r>
      <w:r>
        <w:rPr/>
        <w:t xml:space="preserve">was 50%, 83. 3%, 61. 9%, and 54. 8% in GC group, respectively. No association was found between the mentioned genotypes and the risk of GC in Iran ( </w:t>
      </w:r>
      <w:r>
        <w:rPr>
          <w:rStyle w:val="Emphasis"/>
        </w:rPr>
        <w:t xml:space="preserve">P = P </w:t>
      </w:r>
      <w:r>
        <w:rPr/>
        <w:t xml:space="preserve">-value &gt; 0. 05); however, </w:t>
      </w:r>
      <w:r>
        <w:rPr>
          <w:rStyle w:val="Emphasis"/>
        </w:rPr>
        <w:t xml:space="preserve">cagL </w:t>
      </w:r>
      <w:r>
        <w:rPr/>
        <w:t xml:space="preserve">and </w:t>
      </w:r>
      <w:r>
        <w:rPr>
          <w:rStyle w:val="Emphasis"/>
        </w:rPr>
        <w:t xml:space="preserve">orf17 </w:t>
      </w:r>
      <w:r>
        <w:rPr/>
        <w:t xml:space="preserve">genotypes were correlated with an increased risk of PU in Iran ( </w:t>
      </w:r>
      <w:r>
        <w:rPr>
          <w:rStyle w:val="Emphasis"/>
        </w:rPr>
        <w:t xml:space="preserve">P </w:t>
      </w:r>
      <w:r>
        <w:rPr/>
        <w:t xml:space="preserve">= 0. 021 for </w:t>
      </w:r>
      <w:r>
        <w:rPr>
          <w:rStyle w:val="Emphasis"/>
        </w:rPr>
        <w:t xml:space="preserve">cagL </w:t>
      </w:r>
      <w:r>
        <w:rPr/>
        <w:t xml:space="preserve">and </w:t>
      </w:r>
      <w:r>
        <w:rPr>
          <w:rStyle w:val="Emphasis"/>
        </w:rPr>
        <w:t xml:space="preserve">P </w:t>
      </w:r>
      <w:r>
        <w:rPr/>
        <w:t xml:space="preserve">= 0. 015 for </w:t>
      </w:r>
      <w:r>
        <w:rPr>
          <w:rStyle w:val="Emphasis"/>
        </w:rPr>
        <w:t xml:space="preserve">orf17 </w:t>
      </w:r>
      <w:r>
        <w:rPr/>
        <w:t xml:space="preserve">), </w:t>
      </w:r>
      <w:r>
        <w:rPr>
          <w:rStyle w:val="Emphasis"/>
        </w:rPr>
        <w:t xml:space="preserve">cagH </w:t>
      </w:r>
      <w:r>
        <w:rPr/>
        <w:t xml:space="preserve">and </w:t>
      </w:r>
      <w:r>
        <w:rPr>
          <w:rStyle w:val="Emphasis"/>
        </w:rPr>
        <w:t xml:space="preserve">cagG </w:t>
      </w:r>
      <w:r>
        <w:rPr/>
        <w:t xml:space="preserve">genes showed no consistent relationship with PU in Iran ( </w:t>
      </w:r>
      <w:r>
        <w:rPr>
          <w:rStyle w:val="Emphasis"/>
        </w:rPr>
        <w:t xml:space="preserve">P </w:t>
      </w:r>
      <w:r>
        <w:rPr/>
        <w:t xml:space="preserve">&gt; 0. 05). </w:t>
      </w:r>
    </w:p>
    <w:p>
      <w:pPr>
        <w:pStyle w:val="Heading2"/>
        <w:bidi w:val="0"/>
        <w:jc w:val="start"/>
        <w:rPr/>
      </w:pPr>
      <w:r>
        <w:rPr/>
        <w:t xml:space="preserve">Introduction </w:t>
      </w:r>
    </w:p>
    <w:p>
      <w:pPr>
        <w:pStyle w:val="TextBody"/>
        <w:bidi w:val="0"/>
        <w:spacing w:before="0" w:after="283"/>
        <w:jc w:val="start"/>
        <w:rPr/>
      </w:pPr>
      <w:r>
        <w:rPr/>
        <w:t xml:space="preserve">Gastric Cancer (GC) is the third common cancer that ends up death in the world,** the incidence rate of this cancer varies across different geographical areas.** The high incidence areas for gastric cancer has geographical distribution in Asia.** Ardabil province that is located in north west of Iran and close to Caspian sea, is reported as area that has high incidence rate of gastric adenocarcinoma in Iran.** Gastric cancer has high rate in male and is the third cancer after breast and colorectal cancer in female in Iran.**The concrete reasons for prevalence of gastric cancer, which varies in different geographical areas, remain unknown; however data show that interaction between host and environmental factors, specially </w:t>
      </w:r>
      <w:r>
        <w:rPr>
          <w:rStyle w:val="Emphasis"/>
        </w:rPr>
        <w:t xml:space="preserve">Helicobacter pylori </w:t>
      </w:r>
      <w:r>
        <w:rPr/>
        <w:t xml:space="preserve">( </w:t>
      </w:r>
      <w:r>
        <w:rPr>
          <w:rStyle w:val="Emphasis"/>
        </w:rPr>
        <w:t xml:space="preserve">H. pylori </w:t>
      </w:r>
      <w:r>
        <w:rPr/>
        <w:t xml:space="preserve">) infection may play a remarkable role. This bacterium is found in more than 50 % of the world population and it is a well-known human pathogen. </w:t>
      </w:r>
      <w:r>
        <w:rPr>
          <w:rStyle w:val="Emphasis"/>
        </w:rPr>
        <w:t xml:space="preserve">H. pylori </w:t>
      </w:r>
      <w:r>
        <w:rPr/>
        <w:t xml:space="preserve">is the cause of acute or chronic gastritis, peptic ulcerations (PU) disease, gastric adenocarcinoma and gastric mucosa-associated lymphoid tissue (MALT) lymphoma. In most of cases the infection remains asymptomatic during life, just 20% develops to peptic ulcer or gastric carcinoma.*** </w:t>
      </w:r>
      <w:r>
        <w:rPr>
          <w:rStyle w:val="Emphasis"/>
        </w:rPr>
        <w:t xml:space="preserve">H. pylori </w:t>
      </w:r>
      <w:r>
        <w:rPr/>
        <w:t xml:space="preserve">results in acute or chronic infection, the acute infection decreases the acidity in the gastric, which promotes the bacterial colonization,* this hypochlorhydria stimulates gastritis that predisposes to atrophic gastritis, intestinal metaplasia, dysplasia and finally carcinoma.* </w:t>
      </w:r>
      <w:r>
        <w:rPr>
          <w:rStyle w:val="Emphasis"/>
        </w:rPr>
        <w:t xml:space="preserve">H. pylori </w:t>
      </w:r>
      <w:r>
        <w:rPr/>
        <w:t xml:space="preserve">infection in the gastric triggers a mucosal inflammatory response and is the cause of different clinical outcomes in humans.* </w:t>
      </w:r>
      <w:r>
        <w:rPr>
          <w:rStyle w:val="Emphasis"/>
        </w:rPr>
        <w:t xml:space="preserve">H. pylori </w:t>
      </w:r>
      <w:r>
        <w:rPr/>
        <w:t xml:space="preserve">harbors a pathogenicity island that is called </w:t>
      </w:r>
      <w:r>
        <w:rPr>
          <w:rStyle w:val="Emphasis"/>
        </w:rPr>
        <w:t xml:space="preserve">cag </w:t>
      </w:r>
      <w:r>
        <w:rPr/>
        <w:t xml:space="preserve">pathogenicity island ( </w:t>
      </w:r>
      <w:r>
        <w:rPr>
          <w:rStyle w:val="Emphasis"/>
        </w:rPr>
        <w:t xml:space="preserve">cag </w:t>
      </w:r>
      <w:r>
        <w:rPr/>
        <w:t xml:space="preserve">PAI). The </w:t>
      </w:r>
      <w:r>
        <w:rPr>
          <w:rStyle w:val="Emphasis"/>
        </w:rPr>
        <w:t xml:space="preserve">cag </w:t>
      </w:r>
      <w:r>
        <w:rPr/>
        <w:t xml:space="preserve">PAI is the main virulence factor that encodes type IV secretion system (T4SS), several genes within </w:t>
      </w:r>
      <w:r>
        <w:rPr>
          <w:rStyle w:val="Emphasis"/>
        </w:rPr>
        <w:t xml:space="preserve">cag </w:t>
      </w:r>
      <w:r>
        <w:rPr/>
        <w:t xml:space="preserve">PAI are associated with an increased interlukin-8 (IL-8) production, which is produced by gastric epithelial cells.** Among the bacterial factors, the adherent ability to gastric epithelial cells is the most important factor in order to initiate the gastric inflammatory response and is crucial for IL-8 induction.**CagL is bacterial factor that is called a pilus protein ( a VirB5 orthologe).* Integrin α5β1 is a receptor on gastric epithelial cell that CagL binds to; by its arginine-glycine-aspartate (RGD) motif** , this interaction activates α5β1 receptor and facilitates and triggers** the delivery of bacterial CagA oncoprotein through T4SS into the epithelial cell.* CagL is associated with two other </w:t>
      </w:r>
      <w:r>
        <w:rPr>
          <w:rStyle w:val="Emphasis"/>
        </w:rPr>
        <w:t xml:space="preserve">cag </w:t>
      </w:r>
      <w:r>
        <w:rPr/>
        <w:t xml:space="preserve">PAI proteins ; CagI and CagH.* All the three factors are highly needed for injection of CagA into the epithelial cell, and it is demonstrated that those factors are responsible for T4SS pili formation. </w:t>
      </w:r>
      <w:r>
        <w:rPr>
          <w:rStyle w:val="Emphasis"/>
        </w:rPr>
        <w:t xml:space="preserve">cagG </w:t>
      </w:r>
      <w:r>
        <w:rPr/>
        <w:t xml:space="preserve">is another factor that is located upstream of </w:t>
      </w:r>
      <w:r>
        <w:rPr>
          <w:rStyle w:val="Emphasis"/>
        </w:rPr>
        <w:t xml:space="preserve">cagA, cagG </w:t>
      </w:r>
      <w:r>
        <w:rPr/>
        <w:t xml:space="preserve">is the gene that shows some homology to adherence-related or motility-related genes of other bacteria in bioinformatics study or gene analysis.*** </w:t>
      </w:r>
      <w:r>
        <w:rPr>
          <w:rStyle w:val="Emphasis"/>
        </w:rPr>
        <w:t xml:space="preserve">orf17 </w:t>
      </w:r>
      <w:r>
        <w:rPr/>
        <w:t xml:space="preserve">is the gene that shows some homology to the gene of other bacteria in bioinformatics study, the study shows that in </w:t>
      </w:r>
      <w:r>
        <w:rPr>
          <w:rStyle w:val="Emphasis"/>
        </w:rPr>
        <w:t xml:space="preserve">Dickeya zeae </w:t>
      </w:r>
      <w:r>
        <w:rPr/>
        <w:t xml:space="preserve">there is a gene which has homology to </w:t>
      </w:r>
      <w:r>
        <w:rPr>
          <w:rStyle w:val="Emphasis"/>
        </w:rPr>
        <w:t xml:space="preserve">orf17 </w:t>
      </w:r>
      <w:r>
        <w:rPr/>
        <w:t xml:space="preserve">in </w:t>
      </w:r>
      <w:r>
        <w:rPr>
          <w:rStyle w:val="Emphasis"/>
        </w:rPr>
        <w:t xml:space="preserve">helicobacter pylori </w:t>
      </w:r>
      <w:r>
        <w:rPr/>
        <w:t xml:space="preserve">and 36% identity is reported in the pblast studies. </w:t>
      </w:r>
      <w:r>
        <w:rPr>
          <w:rStyle w:val="Emphasis"/>
        </w:rPr>
        <w:t xml:space="preserve">Dickeya zeae </w:t>
      </w:r>
      <w:r>
        <w:rPr/>
        <w:t xml:space="preserve">, is the aerobic/anaerobic phytopathogene bacterium that is the cause of soft rot disease in a broad range plants species, specially many crops that are economically crucial.** this bacterium causes bacterial foot rot and it is reported in many asian countries particularly china which the disease mostly begins at the ligulus.**In this study we aimed to find out the distribution of four target genes ( </w:t>
      </w:r>
      <w:r>
        <w:rPr>
          <w:rStyle w:val="Emphasis"/>
        </w:rPr>
        <w:t xml:space="preserve">cagH </w:t>
      </w:r>
      <w:r>
        <w:rPr/>
        <w:t xml:space="preserve">, </w:t>
      </w:r>
      <w:r>
        <w:rPr>
          <w:rStyle w:val="Emphasis"/>
        </w:rPr>
        <w:t xml:space="preserve">cagL </w:t>
      </w:r>
      <w:r>
        <w:rPr/>
        <w:t xml:space="preserve">, </w:t>
      </w:r>
      <w:r>
        <w:rPr>
          <w:rStyle w:val="Emphasis"/>
        </w:rPr>
        <w:t xml:space="preserve">cagG </w:t>
      </w:r>
      <w:r>
        <w:rPr/>
        <w:t xml:space="preserve">, and </w:t>
      </w:r>
      <w:r>
        <w:rPr>
          <w:rStyle w:val="Emphasis"/>
        </w:rPr>
        <w:t xml:space="preserve">orf17 </w:t>
      </w:r>
      <w:r>
        <w:rPr/>
        <w:t xml:space="preserve">) in </w:t>
      </w:r>
      <w:r>
        <w:rPr>
          <w:rStyle w:val="Emphasis"/>
        </w:rPr>
        <w:t xml:space="preserve">H. pylori </w:t>
      </w:r>
      <w:r>
        <w:rPr/>
        <w:t xml:space="preserve">genome and their relationship with gastrointestinal disease in Iran. </w:t>
      </w:r>
    </w:p>
    <w:p>
      <w:pPr>
        <w:pStyle w:val="Heading2"/>
        <w:bidi w:val="0"/>
        <w:jc w:val="start"/>
        <w:rPr/>
      </w:pPr>
      <w:r>
        <w:rPr/>
        <w:t xml:space="preserve">Materials and methods: </w:t>
      </w:r>
    </w:p>
    <w:p>
      <w:pPr>
        <w:pStyle w:val="TextBody"/>
        <w:bidi w:val="0"/>
        <w:spacing w:before="0" w:after="283"/>
        <w:jc w:val="start"/>
        <w:rPr/>
      </w:pPr>
      <w:r>
        <w:rPr/>
        <w:t xml:space="preserve">Collection of tissue specimens </w:t>
      </w:r>
    </w:p>
    <w:p>
      <w:pPr>
        <w:pStyle w:val="TextBody"/>
        <w:bidi w:val="0"/>
        <w:spacing w:before="0" w:after="283"/>
        <w:jc w:val="start"/>
        <w:rPr/>
      </w:pPr>
      <w:r>
        <w:rPr/>
        <w:t xml:space="preserve">The tissue specimens were collected over 3 years from 2011 to 2014 in Iran; from patients with various gastric diseases. </w:t>
      </w:r>
    </w:p>
    <w:p>
      <w:pPr>
        <w:pStyle w:val="TextBody"/>
        <w:bidi w:val="0"/>
        <w:spacing w:before="0" w:after="283"/>
        <w:jc w:val="start"/>
        <w:rPr/>
      </w:pPr>
      <w:r>
        <w:rPr/>
        <w:t xml:space="preserve">H. pylori isolation and culture </w:t>
      </w:r>
    </w:p>
    <w:p>
      <w:pPr>
        <w:pStyle w:val="TextBody"/>
        <w:bidi w:val="0"/>
        <w:spacing w:before="0" w:after="283"/>
        <w:jc w:val="start"/>
        <w:rPr/>
      </w:pPr>
      <w:r>
        <w:rPr/>
        <w:t xml:space="preserve">Antrum and body biopsies were used for H. pylori culture. Biopsies were cultured on selective Brucella agar (Merck, Germany) involving 5% sheep blood, 10 mg/L of vancomycin (Zakaria, Iran), 5 mg/L trimethoprim (MP Biomedicals, France), 2. 5 IU/L polymyxin B (MP Biomedicals, France), and 8 mg/L amphotericin B (Bristol-Myers Squibb, USA). Cultures were incubated at 37 â-¦C under microaerophilic situation for 3-7 days. Bacterial isolates were identified as H. pylori on the basis of Gram-stained morphology and positive urease, catalase, and oxidase tests. Bacterial isolates were harvested in brain heart infusion broth (Merck) enriched with 20% glycerol and 10% inactivated horse serum and stored at −70 â-¦C. </w:t>
      </w:r>
    </w:p>
    <w:p>
      <w:pPr>
        <w:pStyle w:val="TextBody"/>
        <w:bidi w:val="0"/>
        <w:spacing w:before="0" w:after="283"/>
        <w:jc w:val="start"/>
        <w:rPr/>
      </w:pPr>
      <w:r>
        <w:rPr/>
        <w:t xml:space="preserve">Histological assessment and classification </w:t>
      </w:r>
    </w:p>
    <w:p>
      <w:pPr>
        <w:pStyle w:val="TextBody"/>
        <w:bidi w:val="0"/>
        <w:spacing w:before="0" w:after="283"/>
        <w:jc w:val="start"/>
        <w:rPr/>
      </w:pPr>
      <w:r>
        <w:rPr/>
        <w:t xml:space="preserve">All biopsies were taken from the gastric body (corpus) and antrum of patients with different gastrointestinal disease, and were used for histopathalogical examination. The biopsy specimens were initially formalin-fixed and paraffin-embedded. Sections of 4μm were obtained and stained with hematoxylin-eosin, Giemsa, and Alcian blue- periodic acid Shiff (pH 2. 5). By the use of Sydney system, GC was classified and graded. 4ms. abdi </w:t>
      </w:r>
    </w:p>
    <w:p>
      <w:pPr>
        <w:pStyle w:val="TextBody"/>
        <w:bidi w:val="0"/>
        <w:spacing w:before="0" w:after="283"/>
        <w:jc w:val="start"/>
        <w:rPr/>
      </w:pPr>
      <w:r>
        <w:rPr/>
        <w:t xml:space="preserve">DNA extraction </w:t>
      </w:r>
    </w:p>
    <w:p>
      <w:pPr>
        <w:pStyle w:val="TextBody"/>
        <w:bidi w:val="0"/>
        <w:spacing w:before="0" w:after="283"/>
        <w:jc w:val="start"/>
        <w:rPr/>
      </w:pPr>
      <w:r>
        <w:rPr/>
        <w:t xml:space="preserve">Using protocol DNGTM plus kit (Cinna Gene, Tehran, Iran), DNA was extracted from the urease, oxidase, and catalase positive gastric biopsy specimens, before using the kit, the tissue was completely broken down using the scalpel. Extracted DNA was kept at -20ËšC until polymerase chain reaction (PCR) amplification was carried out. </w:t>
      </w:r>
    </w:p>
    <w:p>
      <w:pPr>
        <w:pStyle w:val="TextBody"/>
        <w:bidi w:val="0"/>
        <w:spacing w:before="0" w:after="283"/>
        <w:jc w:val="start"/>
        <w:rPr/>
      </w:pPr>
      <w:r>
        <w:rPr/>
        <w:t xml:space="preserve">PCR amplification </w:t>
      </w:r>
    </w:p>
    <w:p>
      <w:pPr>
        <w:pStyle w:val="TextBody"/>
        <w:bidi w:val="0"/>
        <w:spacing w:before="0" w:after="283"/>
        <w:jc w:val="start"/>
        <w:rPr/>
      </w:pPr>
      <w:r>
        <w:rPr/>
        <w:t xml:space="preserve">The first PCR was conducted in order to detect the </w:t>
      </w:r>
      <w:r>
        <w:rPr>
          <w:rStyle w:val="Emphasis"/>
        </w:rPr>
        <w:t xml:space="preserve">H. pylori </w:t>
      </w:r>
      <w:r>
        <w:rPr/>
        <w:t xml:space="preserve">-specific 16S rDNA gene*. Using HP1-2 16S Rrna primer PCR amplification was performed (Optimized annealing temperature: 56 °C) in 30-μl reaction mixture and the PCR amplification products (1500 bp in size), which were 16S rDNA, were detected in electrophoreses that proved the specimens were infected by </w:t>
      </w:r>
      <w:r>
        <w:rPr>
          <w:rStyle w:val="Emphasis"/>
        </w:rPr>
        <w:t xml:space="preserve">H. pylori </w:t>
      </w:r>
      <w:r>
        <w:rPr/>
        <w:t xml:space="preserve">( </w:t>
      </w:r>
      <w:r>
        <w:rPr>
          <w:rStyle w:val="Emphasis"/>
        </w:rPr>
        <w:t xml:space="preserve">H. P + </w:t>
      </w:r>
      <w:r>
        <w:rPr/>
        <w:t xml:space="preserve">). The second PCR was done in order to detect the target genes which were </w:t>
      </w:r>
      <w:r>
        <w:rPr>
          <w:rStyle w:val="Emphasis"/>
        </w:rPr>
        <w:t xml:space="preserve">cagH </w:t>
      </w:r>
      <w:r>
        <w:rPr/>
        <w:t xml:space="preserve">, </w:t>
      </w:r>
      <w:r>
        <w:rPr>
          <w:rStyle w:val="Emphasis"/>
        </w:rPr>
        <w:t xml:space="preserve">cagL </w:t>
      </w:r>
      <w:r>
        <w:rPr/>
        <w:t xml:space="preserve">, </w:t>
      </w:r>
      <w:r>
        <w:rPr>
          <w:rStyle w:val="Emphasis"/>
        </w:rPr>
        <w:t xml:space="preserve">cagG </w:t>
      </w:r>
      <w:r>
        <w:rPr/>
        <w:t xml:space="preserve">, and </w:t>
      </w:r>
      <w:r>
        <w:rPr>
          <w:rStyle w:val="Emphasis"/>
        </w:rPr>
        <w:t xml:space="preserve">orf17 </w:t>
      </w:r>
      <w:r>
        <w:rPr/>
        <w:t xml:space="preserve">(Optimized annealing temperature (°C): 52, 54, 50, and 50; respectively). The PCR amplification was carried out in 30-μl reaction mixture involving MgCl2 = 1 µl, PCR buffer = 3 µl, dNTPmix = 0. 5 µl, primers (reverse and forward mixture) = 1 µl, enzyme = 0. 2 µl, template DNA = 5 µl, and D. W = 19. 3 µl (total volume = 30 µl); and the PCR amplification products ( </w:t>
      </w:r>
      <w:r>
        <w:rPr>
          <w:rStyle w:val="Emphasis"/>
        </w:rPr>
        <w:t xml:space="preserve">cagH </w:t>
      </w:r>
      <w:r>
        <w:rPr/>
        <w:t xml:space="preserve">= 1113 bp </w:t>
      </w:r>
      <w:r>
        <w:rPr>
          <w:rStyle w:val="Emphasis"/>
        </w:rPr>
        <w:t xml:space="preserve">, cagL </w:t>
      </w:r>
      <w:r>
        <w:rPr/>
        <w:t xml:space="preserve">= 263 bp, </w:t>
      </w:r>
      <w:r>
        <w:rPr>
          <w:rStyle w:val="Emphasis"/>
        </w:rPr>
        <w:t xml:space="preserve">cagG </w:t>
      </w:r>
      <w:r>
        <w:rPr/>
        <w:t xml:space="preserve">= 398 bp, and </w:t>
      </w:r>
      <w:r>
        <w:rPr>
          <w:rStyle w:val="Emphasis"/>
        </w:rPr>
        <w:t xml:space="preserve">orf17 </w:t>
      </w:r>
      <w:r>
        <w:rPr/>
        <w:t xml:space="preserve">= 546 bp in size) were detected.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The relationship between the </w:t>
      </w:r>
      <w:r>
        <w:rPr>
          <w:rStyle w:val="Emphasis"/>
        </w:rPr>
        <w:t xml:space="preserve">cagH </w:t>
      </w:r>
      <w:r>
        <w:rPr/>
        <w:t xml:space="preserve">, </w:t>
      </w:r>
      <w:r>
        <w:rPr>
          <w:rStyle w:val="Emphasis"/>
        </w:rPr>
        <w:t xml:space="preserve">cagL </w:t>
      </w:r>
      <w:r>
        <w:rPr/>
        <w:t xml:space="preserve">, </w:t>
      </w:r>
      <w:r>
        <w:rPr>
          <w:rStyle w:val="Emphasis"/>
        </w:rPr>
        <w:t xml:space="preserve">cagG </w:t>
      </w:r>
      <w:r>
        <w:rPr/>
        <w:t xml:space="preserve">and </w:t>
      </w:r>
      <w:r>
        <w:rPr>
          <w:rStyle w:val="Emphasis"/>
        </w:rPr>
        <w:t xml:space="preserve">orf17 </w:t>
      </w:r>
      <w:r>
        <w:rPr/>
        <w:t xml:space="preserve">genotypes of </w:t>
      </w:r>
      <w:r>
        <w:rPr>
          <w:rStyle w:val="Emphasis"/>
        </w:rPr>
        <w:t xml:space="preserve">H. pylori cag </w:t>
      </w:r>
      <w:r>
        <w:rPr/>
        <w:t xml:space="preserve">pathogenicity island and clinical outcomes (including GC, PU, and non-atrophic gastritis or NAG) were analyzed. The SPSS statistical software package version 18. 0 was used for all statistical analyses in this study. With chi-square test and the fisher exact probability the analysis was done. A </w:t>
      </w:r>
      <w:r>
        <w:rPr>
          <w:rStyle w:val="Emphasis"/>
        </w:rPr>
        <w:t xml:space="preserve">P </w:t>
      </w:r>
      <w:r>
        <w:rPr/>
        <w:t xml:space="preserve">-value of &lt; 0. 05 indicated significance. A simple and multiple logistic regression was used to calculate the odd ratio (OR) and 95% confidence interval (CI) of the clinical outcomes by including age, sex and </w:t>
      </w:r>
      <w:r>
        <w:rPr>
          <w:rStyle w:val="Emphasis"/>
        </w:rPr>
        <w:t xml:space="preserve">H. pylori </w:t>
      </w:r>
      <w:r>
        <w:rPr/>
        <w:t xml:space="preserve">genotypes. The OR and CI were used to estimate the risk of PU and GC in the current study. </w:t>
      </w:r>
    </w:p>
    <w:p>
      <w:pPr>
        <w:pStyle w:val="Heading2"/>
        <w:bidi w:val="0"/>
        <w:jc w:val="start"/>
        <w:rPr/>
      </w:pPr>
      <w:r>
        <w:rPr/>
        <w:t xml:space="preserve">Results </w:t>
      </w:r>
    </w:p>
    <w:p>
      <w:pPr>
        <w:pStyle w:val="TextBody"/>
        <w:bidi w:val="0"/>
        <w:spacing w:before="0" w:after="283"/>
        <w:jc w:val="start"/>
        <w:rPr/>
      </w:pPr>
      <w:r>
        <w:rPr/>
        <w:t xml:space="preserve">A total of 242 strains isolated from </w:t>
      </w:r>
      <w:r>
        <w:rPr>
          <w:rStyle w:val="Emphasis"/>
        </w:rPr>
        <w:t xml:space="preserve">H. pylori </w:t>
      </w:r>
      <w:r>
        <w:rPr/>
        <w:t xml:space="preserve">-positive Iranian patients (59. 5% male and 40. 5 female; 37. 6% age &gt;= 55 and 62% age &lt; 55), were examined in the present study. The strains involving 146 (60. 3%) with NAG, 54 (22. 3%) with PU, and 42 (17. 4%) with GC. The total frequency of </w:t>
      </w:r>
      <w:r>
        <w:rPr>
          <w:rStyle w:val="Emphasis"/>
        </w:rPr>
        <w:t xml:space="preserve">cagH </w:t>
      </w:r>
      <w:r>
        <w:rPr/>
        <w:t xml:space="preserve">, </w:t>
      </w:r>
      <w:r>
        <w:rPr>
          <w:rStyle w:val="Emphasis"/>
        </w:rPr>
        <w:t xml:space="preserve">cagL </w:t>
      </w:r>
      <w:r>
        <w:rPr/>
        <w:t xml:space="preserve">, </w:t>
      </w:r>
      <w:r>
        <w:rPr>
          <w:rStyle w:val="Emphasis"/>
        </w:rPr>
        <w:t xml:space="preserve">cagG </w:t>
      </w:r>
      <w:r>
        <w:rPr/>
        <w:t xml:space="preserve">, and </w:t>
      </w:r>
      <w:r>
        <w:rPr>
          <w:rStyle w:val="Emphasis"/>
        </w:rPr>
        <w:t xml:space="preserve">orf17 </w:t>
      </w:r>
      <w:r>
        <w:rPr/>
        <w:t xml:space="preserve">genotypes was 61. 2%, 86. 4%, 71. 5%, and 64%, respectively. </w:t>
      </w:r>
    </w:p>
    <w:p>
      <w:pPr>
        <w:pStyle w:val="TextBody"/>
        <w:bidi w:val="0"/>
        <w:spacing w:before="0" w:after="283"/>
        <w:jc w:val="start"/>
        <w:rPr/>
      </w:pPr>
      <w:r>
        <w:rPr/>
        <w:t xml:space="preserve">Association between the virulence factors and PU in Iran: The frequency of the </w:t>
      </w:r>
      <w:r>
        <w:rPr>
          <w:rStyle w:val="Emphasis"/>
        </w:rPr>
        <w:t xml:space="preserve">cagH </w:t>
      </w:r>
      <w:r>
        <w:rPr/>
        <w:t xml:space="preserve">, </w:t>
      </w:r>
      <w:r>
        <w:rPr>
          <w:rStyle w:val="Emphasis"/>
        </w:rPr>
        <w:t xml:space="preserve">cagL </w:t>
      </w:r>
      <w:r>
        <w:rPr/>
        <w:t xml:space="preserve">, </w:t>
      </w:r>
      <w:r>
        <w:rPr>
          <w:rStyle w:val="Emphasis"/>
        </w:rPr>
        <w:t xml:space="preserve">orf17 </w:t>
      </w:r>
      <w:r>
        <w:rPr/>
        <w:t xml:space="preserve">, and </w:t>
      </w:r>
      <w:r>
        <w:rPr>
          <w:rStyle w:val="Emphasis"/>
        </w:rPr>
        <w:t xml:space="preserve">cagG </w:t>
      </w:r>
      <w:r>
        <w:rPr/>
        <w:t xml:space="preserve">genotypes was 74. 1%, 98. 1%, 79. 6%, and 70. 4%in PU group (51. 8% for duodenal ulcer and 37. 03% for gastric ulcer) although in the control group (NAG) the following frequencies were reported: 59. 6% for </w:t>
      </w:r>
      <w:r>
        <w:rPr>
          <w:rStyle w:val="Emphasis"/>
        </w:rPr>
        <w:t xml:space="preserve">cagH </w:t>
      </w:r>
      <w:r>
        <w:rPr/>
        <w:t xml:space="preserve">, 82. 9% for </w:t>
      </w:r>
      <w:r>
        <w:rPr>
          <w:rStyle w:val="Emphasis"/>
        </w:rPr>
        <w:t xml:space="preserve">cagL </w:t>
      </w:r>
      <w:r>
        <w:rPr/>
        <w:t xml:space="preserve">, 61% for orf17, and 74. 7% for </w:t>
      </w:r>
      <w:r>
        <w:rPr>
          <w:rStyle w:val="Emphasis"/>
        </w:rPr>
        <w:t xml:space="preserve">cagG </w:t>
      </w:r>
      <w:r>
        <w:rPr/>
        <w:t xml:space="preserve">. The simple logistic regression analysis illustrated that the </w:t>
      </w:r>
      <w:r>
        <w:rPr>
          <w:rStyle w:val="Emphasis"/>
        </w:rPr>
        <w:t xml:space="preserve">cagL </w:t>
      </w:r>
      <w:r>
        <w:rPr/>
        <w:t xml:space="preserve">and </w:t>
      </w:r>
      <w:r>
        <w:rPr>
          <w:rStyle w:val="Emphasis"/>
        </w:rPr>
        <w:t xml:space="preserve">orf17 </w:t>
      </w:r>
      <w:r>
        <w:rPr/>
        <w:t xml:space="preserve">genotypes were remarkably associated with an increased risk of PU, the OR (95%CI) 10. 95 (1. 446-82. 935) and 2. 504 (1. 193-5. 235) respectively, ( </w:t>
      </w:r>
      <w:r>
        <w:rPr>
          <w:rStyle w:val="Emphasis"/>
        </w:rPr>
        <w:t xml:space="preserve">P </w:t>
      </w:r>
      <w:r>
        <w:rPr/>
        <w:t xml:space="preserve">= 0. 021 for </w:t>
      </w:r>
      <w:r>
        <w:rPr>
          <w:rStyle w:val="Emphasis"/>
        </w:rPr>
        <w:t xml:space="preserve">cagL </w:t>
      </w:r>
      <w:r>
        <w:rPr/>
        <w:t xml:space="preserve">and </w:t>
      </w:r>
      <w:r>
        <w:rPr>
          <w:rStyle w:val="Emphasis"/>
        </w:rPr>
        <w:t xml:space="preserve">P </w:t>
      </w:r>
      <w:r>
        <w:rPr/>
        <w:t xml:space="preserve">= 0. 015 for </w:t>
      </w:r>
      <w:r>
        <w:rPr>
          <w:rStyle w:val="Emphasis"/>
        </w:rPr>
        <w:t xml:space="preserve">orf17 </w:t>
      </w:r>
      <w:r>
        <w:rPr/>
        <w:t xml:space="preserve">). No significant relationship was found between the </w:t>
      </w:r>
      <w:r>
        <w:rPr>
          <w:rStyle w:val="Emphasis"/>
        </w:rPr>
        <w:t xml:space="preserve">cagH </w:t>
      </w:r>
      <w:r>
        <w:rPr/>
        <w:t xml:space="preserve">and </w:t>
      </w:r>
      <w:r>
        <w:rPr>
          <w:rStyle w:val="Emphasis"/>
        </w:rPr>
        <w:t xml:space="preserve">cagG </w:t>
      </w:r>
      <w:r>
        <w:rPr/>
        <w:t xml:space="preserve">genotypes and the risk of PU ( </w:t>
      </w:r>
      <w:r>
        <w:rPr>
          <w:rStyle w:val="Emphasis"/>
        </w:rPr>
        <w:t xml:space="preserve">P </w:t>
      </w:r>
      <w:r>
        <w:rPr/>
        <w:t xml:space="preserve">&gt; 0. 05). Analysis for combined genotypes showed that </w:t>
      </w:r>
      <w:r>
        <w:rPr>
          <w:rStyle w:val="Emphasis"/>
        </w:rPr>
        <w:t xml:space="preserve">cagH </w:t>
      </w:r>
      <w:r>
        <w:rPr/>
        <w:t xml:space="preserve">/ </w:t>
      </w:r>
      <w:r>
        <w:rPr>
          <w:rStyle w:val="Emphasis"/>
        </w:rPr>
        <w:t xml:space="preserve">cagL </w:t>
      </w:r>
      <w:r>
        <w:rPr/>
        <w:t xml:space="preserve">and </w:t>
      </w:r>
      <w:r>
        <w:rPr>
          <w:rStyle w:val="Emphasis"/>
        </w:rPr>
        <w:t xml:space="preserve">cagH </w:t>
      </w:r>
      <w:r>
        <w:rPr/>
        <w:t xml:space="preserve">/ </w:t>
      </w:r>
      <w:r>
        <w:rPr>
          <w:rStyle w:val="Emphasis"/>
        </w:rPr>
        <w:t xml:space="preserve">orf17 </w:t>
      </w:r>
      <w:r>
        <w:rPr/>
        <w:t xml:space="preserve">were associated with an increased risk of PU, the OR (95%CI) was 9. 756 (1. 264-75. 303) for </w:t>
      </w:r>
      <w:r>
        <w:rPr>
          <w:rStyle w:val="Emphasis"/>
        </w:rPr>
        <w:t xml:space="preserve">cagH </w:t>
      </w:r>
      <w:r>
        <w:rPr/>
        <w:t xml:space="preserve">/ </w:t>
      </w:r>
      <w:r>
        <w:rPr>
          <w:rStyle w:val="Emphasis"/>
        </w:rPr>
        <w:t xml:space="preserve">cagL </w:t>
      </w:r>
      <w:r>
        <w:rPr/>
        <w:t xml:space="preserve">and 2. 861 (1. 167-7. 013) for </w:t>
      </w:r>
      <w:r>
        <w:rPr>
          <w:rStyle w:val="Emphasis"/>
        </w:rPr>
        <w:t xml:space="preserve">cagH </w:t>
      </w:r>
      <w:r>
        <w:rPr/>
        <w:t xml:space="preserve">/ </w:t>
      </w:r>
      <w:r>
        <w:rPr>
          <w:rStyle w:val="Emphasis"/>
        </w:rPr>
        <w:t xml:space="preserve">orf17 </w:t>
      </w:r>
      <w:r>
        <w:rPr/>
        <w:t xml:space="preserve">( </w:t>
      </w:r>
      <w:r>
        <w:rPr>
          <w:rStyle w:val="Emphasis"/>
        </w:rPr>
        <w:t xml:space="preserve">P </w:t>
      </w:r>
      <w:r>
        <w:rPr/>
        <w:t xml:space="preserve">= 0. 029 and 0. 02, respectively). No significant correlation was found between </w:t>
      </w:r>
      <w:r>
        <w:rPr>
          <w:rStyle w:val="Emphasis"/>
        </w:rPr>
        <w:t xml:space="preserve">cagH </w:t>
      </w:r>
      <w:r>
        <w:rPr/>
        <w:t xml:space="preserve">/ </w:t>
      </w:r>
      <w:r>
        <w:rPr>
          <w:rStyle w:val="Emphasis"/>
        </w:rPr>
        <w:t xml:space="preserve">cagG </w:t>
      </w:r>
      <w:r>
        <w:rPr/>
        <w:t xml:space="preserve">, </w:t>
      </w:r>
      <w:r>
        <w:rPr>
          <w:rStyle w:val="Emphasis"/>
        </w:rPr>
        <w:t xml:space="preserve">cagL </w:t>
      </w:r>
      <w:r>
        <w:rPr/>
        <w:t xml:space="preserve">/ </w:t>
      </w:r>
      <w:r>
        <w:rPr>
          <w:rStyle w:val="Emphasis"/>
        </w:rPr>
        <w:t xml:space="preserve">cagG </w:t>
      </w:r>
      <w:r>
        <w:rPr/>
        <w:t xml:space="preserve">, </w:t>
      </w:r>
      <w:r>
        <w:rPr>
          <w:rStyle w:val="Emphasis"/>
        </w:rPr>
        <w:t xml:space="preserve">cagL </w:t>
      </w:r>
      <w:r>
        <w:rPr/>
        <w:t xml:space="preserve">/ </w:t>
      </w:r>
      <w:r>
        <w:rPr>
          <w:rStyle w:val="Emphasis"/>
        </w:rPr>
        <w:t xml:space="preserve">orf17 </w:t>
      </w:r>
      <w:r>
        <w:rPr/>
        <w:t xml:space="preserve">, </w:t>
      </w:r>
      <w:r>
        <w:rPr>
          <w:rStyle w:val="Emphasis"/>
        </w:rPr>
        <w:t xml:space="preserve">cagG </w:t>
      </w:r>
      <w:r>
        <w:rPr/>
        <w:t xml:space="preserve">/ </w:t>
      </w:r>
      <w:r>
        <w:rPr>
          <w:rStyle w:val="Emphasis"/>
        </w:rPr>
        <w:t xml:space="preserve">orf17 </w:t>
      </w:r>
      <w:r>
        <w:rPr/>
        <w:t xml:space="preserve">, </w:t>
      </w:r>
      <w:r>
        <w:rPr>
          <w:rStyle w:val="Emphasis"/>
        </w:rPr>
        <w:t xml:space="preserve">cagH </w:t>
      </w:r>
      <w:r>
        <w:rPr/>
        <w:t xml:space="preserve">/ </w:t>
      </w:r>
      <w:r>
        <w:rPr>
          <w:rStyle w:val="Emphasis"/>
        </w:rPr>
        <w:t xml:space="preserve">cagG </w:t>
      </w:r>
      <w:r>
        <w:rPr/>
        <w:t xml:space="preserve">/ </w:t>
      </w:r>
      <w:r>
        <w:rPr>
          <w:rStyle w:val="Emphasis"/>
        </w:rPr>
        <w:t xml:space="preserve">cagL </w:t>
      </w:r>
      <w:r>
        <w:rPr/>
        <w:t xml:space="preserve">, </w:t>
      </w:r>
      <w:r>
        <w:rPr>
          <w:rStyle w:val="Emphasis"/>
        </w:rPr>
        <w:t xml:space="preserve">cagH </w:t>
      </w:r>
      <w:r>
        <w:rPr/>
        <w:t xml:space="preserve">/ </w:t>
      </w:r>
      <w:r>
        <w:rPr>
          <w:rStyle w:val="Emphasis"/>
        </w:rPr>
        <w:t xml:space="preserve">cagG </w:t>
      </w:r>
      <w:r>
        <w:rPr/>
        <w:t xml:space="preserve">/ </w:t>
      </w:r>
      <w:r>
        <w:rPr>
          <w:rStyle w:val="Emphasis"/>
        </w:rPr>
        <w:t xml:space="preserve">orf17 </w:t>
      </w:r>
      <w:r>
        <w:rPr/>
        <w:t xml:space="preserve">, </w:t>
      </w:r>
      <w:r>
        <w:rPr>
          <w:rStyle w:val="Emphasis"/>
        </w:rPr>
        <w:t xml:space="preserve">cagH </w:t>
      </w:r>
      <w:r>
        <w:rPr/>
        <w:t xml:space="preserve">/ </w:t>
      </w:r>
      <w:r>
        <w:rPr>
          <w:rStyle w:val="Emphasis"/>
        </w:rPr>
        <w:t xml:space="preserve">cagL </w:t>
      </w:r>
      <w:r>
        <w:rPr/>
        <w:t xml:space="preserve">/ </w:t>
      </w:r>
      <w:r>
        <w:rPr>
          <w:rStyle w:val="Emphasis"/>
        </w:rPr>
        <w:t xml:space="preserve">orf17 </w:t>
      </w:r>
      <w:r>
        <w:rPr/>
        <w:t xml:space="preserve">, and </w:t>
      </w:r>
      <w:r>
        <w:rPr>
          <w:rStyle w:val="Emphasis"/>
        </w:rPr>
        <w:t xml:space="preserve">cagL </w:t>
      </w:r>
      <w:r>
        <w:rPr/>
        <w:t xml:space="preserve">/ </w:t>
      </w:r>
      <w:r>
        <w:rPr>
          <w:rStyle w:val="Emphasis"/>
        </w:rPr>
        <w:t xml:space="preserve">cagG </w:t>
      </w:r>
      <w:r>
        <w:rPr/>
        <w:t xml:space="preserve">/ </w:t>
      </w:r>
      <w:r>
        <w:rPr>
          <w:rStyle w:val="Emphasis"/>
        </w:rPr>
        <w:t xml:space="preserve">orf17 </w:t>
      </w:r>
      <w:r>
        <w:rPr/>
        <w:t xml:space="preserve">combined genotypes and the risk of PU ( </w:t>
      </w:r>
      <w:r>
        <w:rPr>
          <w:rStyle w:val="Emphasis"/>
        </w:rPr>
        <w:t xml:space="preserve">P </w:t>
      </w:r>
      <w:r>
        <w:rPr/>
        <w:t xml:space="preserve">&gt; 0. 05). </w:t>
      </w:r>
    </w:p>
    <w:p>
      <w:pPr>
        <w:pStyle w:val="TextBody"/>
        <w:bidi w:val="0"/>
        <w:spacing w:before="0" w:after="283"/>
        <w:jc w:val="start"/>
        <w:rPr/>
      </w:pPr>
      <w:r>
        <w:rPr/>
        <w:t xml:space="preserve">Multiple logistic regression analysis illustrated that </w:t>
      </w:r>
      <w:r>
        <w:rPr>
          <w:rStyle w:val="Emphasis"/>
        </w:rPr>
        <w:t xml:space="preserve">cagL </w:t>
      </w:r>
      <w:r>
        <w:rPr/>
        <w:t xml:space="preserve">genotype was independently and significantly correlated with the </w:t>
      </w:r>
      <w:r>
        <w:rPr>
          <w:u w:val="single"/>
        </w:rPr>
        <w:t xml:space="preserve">age and sex-adjusted risk </w:t>
      </w:r>
      <w:r>
        <w:rPr/>
        <w:t xml:space="preserve">(Ø¨Ù‡ Ø¬Ø§ÛŒ Ø§ÛŒÙ† Ø¬Ù…Ù„ Ù‡ Ú†ÛŒ Ù…ÛŒ ØªÙˆÙ†Ù… Ø¨Ù†ÙˆÛŒØ³Ù…ØŸØŸ) for PU, the OR (95%CI) was 9. 557 (1. 219-7. 185) ( </w:t>
      </w:r>
      <w:r>
        <w:rPr>
          <w:rStyle w:val="Emphasis"/>
        </w:rPr>
        <w:t xml:space="preserve">P </w:t>
      </w:r>
      <w:r>
        <w:rPr/>
        <w:t xml:space="preserve">= 0. 032). </w:t>
      </w:r>
    </w:p>
    <w:p>
      <w:pPr>
        <w:pStyle w:val="TextBody"/>
        <w:bidi w:val="0"/>
        <w:spacing w:before="0" w:after="283"/>
        <w:jc w:val="start"/>
        <w:rPr/>
      </w:pPr>
      <w:r>
        <w:rPr/>
        <w:t xml:space="preserve">Association between the virulence factors and GC in Iran: Of the 42 GC patients, 42. 8% were with cardia cancer (CC), and 57. 1% with non-cardia cancer (NCC) and 38. 1% with diffuse-, 57. 1% with intestinal-, and 2. 3% with mucin producing-type adenocarcinomas, and 2. 3% with invasive squamous cell-type carcinoma. Chi-square test demonstrated no correlation between </w:t>
      </w:r>
      <w:r>
        <w:rPr>
          <w:rStyle w:val="Emphasis"/>
        </w:rPr>
        <w:t xml:space="preserve">cagH </w:t>
      </w:r>
      <w:r>
        <w:rPr/>
        <w:t xml:space="preserve">, </w:t>
      </w:r>
      <w:r>
        <w:rPr>
          <w:rStyle w:val="Emphasis"/>
        </w:rPr>
        <w:t xml:space="preserve">cagL </w:t>
      </w:r>
      <w:r>
        <w:rPr/>
        <w:t xml:space="preserve">, </w:t>
      </w:r>
      <w:r>
        <w:rPr>
          <w:rStyle w:val="Emphasis"/>
        </w:rPr>
        <w:t xml:space="preserve">cagG </w:t>
      </w:r>
      <w:r>
        <w:rPr/>
        <w:t xml:space="preserve">, and </w:t>
      </w:r>
      <w:r>
        <w:rPr>
          <w:rStyle w:val="Emphasis"/>
        </w:rPr>
        <w:t xml:space="preserve">orf17 </w:t>
      </w:r>
      <w:r>
        <w:rPr/>
        <w:t xml:space="preserve">genotypes and risk of GC ( </w:t>
      </w:r>
      <w:r>
        <w:rPr>
          <w:rStyle w:val="Emphasis"/>
        </w:rPr>
        <w:t xml:space="preserve">P </w:t>
      </w:r>
      <w:r>
        <w:rPr/>
        <w:t xml:space="preserve">&gt; 0. 05). statistical analysis for combined genotypes illustrated that </w:t>
      </w:r>
      <w:r>
        <w:rPr>
          <w:rStyle w:val="Emphasis"/>
        </w:rPr>
        <w:t xml:space="preserve">cagH </w:t>
      </w:r>
      <w:r>
        <w:rPr/>
        <w:t xml:space="preserve">/ </w:t>
      </w:r>
      <w:r>
        <w:rPr>
          <w:rStyle w:val="Emphasis"/>
        </w:rPr>
        <w:t xml:space="preserve">cagG </w:t>
      </w:r>
      <w:r>
        <w:rPr/>
        <w:t xml:space="preserve">reduced the risk of GC, the OR (95%CI) was 0. 388 (0. 166-0. 908) ( </w:t>
      </w:r>
      <w:r>
        <w:rPr>
          <w:rStyle w:val="Emphasis"/>
        </w:rPr>
        <w:t xml:space="preserve">P </w:t>
      </w:r>
      <w:r>
        <w:rPr/>
        <w:t xml:space="preserve">= 0. 029). However, No remarkable association was found between </w:t>
      </w:r>
      <w:r>
        <w:rPr>
          <w:rStyle w:val="Emphasis"/>
        </w:rPr>
        <w:t xml:space="preserve">cagH/cagL </w:t>
      </w:r>
      <w:r>
        <w:rPr/>
        <w:t xml:space="preserve">, </w:t>
      </w:r>
      <w:r>
        <w:rPr>
          <w:rStyle w:val="Emphasis"/>
        </w:rPr>
        <w:t xml:space="preserve">cagH </w:t>
      </w:r>
      <w:r>
        <w:rPr/>
        <w:t xml:space="preserve">/ </w:t>
      </w:r>
      <w:r>
        <w:rPr>
          <w:rStyle w:val="Emphasis"/>
        </w:rPr>
        <w:t xml:space="preserve">orf17 </w:t>
      </w:r>
      <w:r>
        <w:rPr/>
        <w:t xml:space="preserve">, </w:t>
      </w:r>
      <w:r>
        <w:rPr>
          <w:rStyle w:val="Emphasis"/>
        </w:rPr>
        <w:t xml:space="preserve">cagL </w:t>
      </w:r>
      <w:r>
        <w:rPr/>
        <w:t xml:space="preserve">/ </w:t>
      </w:r>
      <w:r>
        <w:rPr>
          <w:rStyle w:val="Emphasis"/>
        </w:rPr>
        <w:t xml:space="preserve">cagG </w:t>
      </w:r>
      <w:r>
        <w:rPr/>
        <w:t xml:space="preserve">, </w:t>
      </w:r>
      <w:r>
        <w:rPr>
          <w:rStyle w:val="Emphasis"/>
        </w:rPr>
        <w:t xml:space="preserve">cagL </w:t>
      </w:r>
      <w:r>
        <w:rPr/>
        <w:t xml:space="preserve">/ </w:t>
      </w:r>
      <w:r>
        <w:rPr>
          <w:rStyle w:val="Emphasis"/>
        </w:rPr>
        <w:t xml:space="preserve">orf17 </w:t>
      </w:r>
      <w:r>
        <w:rPr/>
        <w:t xml:space="preserve">, </w:t>
      </w:r>
      <w:r>
        <w:rPr>
          <w:rStyle w:val="Emphasis"/>
        </w:rPr>
        <w:t xml:space="preserve">cagG </w:t>
      </w:r>
      <w:r>
        <w:rPr/>
        <w:t xml:space="preserve">/ </w:t>
      </w:r>
      <w:r>
        <w:rPr>
          <w:rStyle w:val="Emphasis"/>
        </w:rPr>
        <w:t xml:space="preserve">orf17 </w:t>
      </w:r>
      <w:r>
        <w:rPr/>
        <w:t xml:space="preserve">, </w:t>
      </w:r>
      <w:r>
        <w:rPr>
          <w:rStyle w:val="Emphasis"/>
        </w:rPr>
        <w:t xml:space="preserve">cagH </w:t>
      </w:r>
      <w:r>
        <w:rPr/>
        <w:t xml:space="preserve">/ </w:t>
      </w:r>
      <w:r>
        <w:rPr>
          <w:rStyle w:val="Emphasis"/>
        </w:rPr>
        <w:t xml:space="preserve">cagG </w:t>
      </w:r>
      <w:r>
        <w:rPr/>
        <w:t xml:space="preserve">/ </w:t>
      </w:r>
      <w:r>
        <w:rPr>
          <w:rStyle w:val="Emphasis"/>
        </w:rPr>
        <w:t xml:space="preserve">cagL </w:t>
      </w:r>
      <w:r>
        <w:rPr/>
        <w:t xml:space="preserve">, </w:t>
      </w:r>
      <w:r>
        <w:rPr>
          <w:rStyle w:val="Emphasis"/>
        </w:rPr>
        <w:t xml:space="preserve">cagH </w:t>
      </w:r>
      <w:r>
        <w:rPr/>
        <w:t xml:space="preserve">/ </w:t>
      </w:r>
      <w:r>
        <w:rPr>
          <w:rStyle w:val="Emphasis"/>
        </w:rPr>
        <w:t xml:space="preserve">cagG </w:t>
      </w:r>
      <w:r>
        <w:rPr/>
        <w:t xml:space="preserve">/ </w:t>
      </w:r>
      <w:r>
        <w:rPr>
          <w:rStyle w:val="Emphasis"/>
        </w:rPr>
        <w:t xml:space="preserve">orf17 </w:t>
      </w:r>
      <w:r>
        <w:rPr/>
        <w:t xml:space="preserve">, </w:t>
      </w:r>
      <w:r>
        <w:rPr>
          <w:rStyle w:val="Emphasis"/>
        </w:rPr>
        <w:t xml:space="preserve">cagH </w:t>
      </w:r>
      <w:r>
        <w:rPr/>
        <w:t xml:space="preserve">/ </w:t>
      </w:r>
      <w:r>
        <w:rPr>
          <w:rStyle w:val="Emphasis"/>
        </w:rPr>
        <w:t xml:space="preserve">cagL </w:t>
      </w:r>
      <w:r>
        <w:rPr/>
        <w:t xml:space="preserve">/ </w:t>
      </w:r>
      <w:r>
        <w:rPr>
          <w:rStyle w:val="Emphasis"/>
        </w:rPr>
        <w:t xml:space="preserve">orf17 </w:t>
      </w:r>
      <w:r>
        <w:rPr/>
        <w:t xml:space="preserve">, and </w:t>
      </w:r>
      <w:r>
        <w:rPr>
          <w:rStyle w:val="Emphasis"/>
        </w:rPr>
        <w:t xml:space="preserve">cagL </w:t>
      </w:r>
      <w:r>
        <w:rPr/>
        <w:t xml:space="preserve">/ </w:t>
      </w:r>
      <w:r>
        <w:rPr>
          <w:rStyle w:val="Emphasis"/>
        </w:rPr>
        <w:t xml:space="preserve">cagG </w:t>
      </w:r>
      <w:r>
        <w:rPr/>
        <w:t xml:space="preserve">/ </w:t>
      </w:r>
      <w:r>
        <w:rPr>
          <w:rStyle w:val="Emphasis"/>
        </w:rPr>
        <w:t xml:space="preserve">orf17 </w:t>
      </w:r>
      <w:r>
        <w:rPr/>
        <w:t xml:space="preserve">combined genotypes and risk of GC ( </w:t>
      </w:r>
      <w:r>
        <w:rPr>
          <w:rStyle w:val="Emphasis"/>
        </w:rPr>
        <w:t xml:space="preserve">P </w:t>
      </w:r>
      <w:r>
        <w:rPr/>
        <w:t xml:space="preserve">&gt; 0. 05). </w:t>
      </w:r>
    </w:p>
    <w:p>
      <w:pPr>
        <w:pStyle w:val="Heading2"/>
        <w:bidi w:val="0"/>
        <w:jc w:val="start"/>
        <w:rPr/>
      </w:pPr>
      <w:r>
        <w:rPr/>
        <w:t xml:space="preserve">Discussion </w:t>
      </w:r>
    </w:p>
    <w:p>
      <w:pPr>
        <w:pStyle w:val="TextBody"/>
        <w:bidi w:val="0"/>
        <w:spacing w:before="0" w:after="283"/>
        <w:jc w:val="start"/>
        <w:rPr/>
      </w:pPr>
      <w:r>
        <w:rPr/>
        <w:t xml:space="preserve">The presence of </w:t>
      </w:r>
      <w:r>
        <w:rPr>
          <w:rStyle w:val="Emphasis"/>
        </w:rPr>
        <w:t xml:space="preserve">H. pylori </w:t>
      </w:r>
      <w:r>
        <w:rPr/>
        <w:t xml:space="preserve">in the gastric mucosa has been known as an essential risk factor of different gastrointestinal disease including; NAG, PU, and GC.** there are several virulence factors within </w:t>
      </w:r>
      <w:r>
        <w:rPr>
          <w:rStyle w:val="Emphasis"/>
        </w:rPr>
        <w:t xml:space="preserve">H. pylori </w:t>
      </w:r>
      <w:r>
        <w:rPr/>
        <w:t xml:space="preserve">genome that might take part in mucosal damage.** This study investigated the relevance of various virulence factors ( </w:t>
      </w:r>
      <w:r>
        <w:rPr>
          <w:rStyle w:val="Emphasis"/>
        </w:rPr>
        <w:t xml:space="preserve">cagH </w:t>
      </w:r>
      <w:r>
        <w:rPr/>
        <w:t xml:space="preserve">, </w:t>
      </w:r>
      <w:r>
        <w:rPr>
          <w:rStyle w:val="Emphasis"/>
        </w:rPr>
        <w:t xml:space="preserve">cagL </w:t>
      </w:r>
      <w:r>
        <w:rPr/>
        <w:t xml:space="preserve">, </w:t>
      </w:r>
      <w:r>
        <w:rPr>
          <w:rStyle w:val="Emphasis"/>
        </w:rPr>
        <w:t xml:space="preserve">cagG </w:t>
      </w:r>
      <w:r>
        <w:rPr/>
        <w:t xml:space="preserve">, and </w:t>
      </w:r>
      <w:r>
        <w:rPr>
          <w:rStyle w:val="Emphasis"/>
        </w:rPr>
        <w:t xml:space="preserve">orf17 </w:t>
      </w:r>
      <w:r>
        <w:rPr/>
        <w:t xml:space="preserve">) and their relationship with sever gastrointestinal disease. Studies showed that </w:t>
      </w:r>
      <w:r>
        <w:rPr>
          <w:rStyle w:val="Emphasis"/>
        </w:rPr>
        <w:t xml:space="preserve">cagG </w:t>
      </w:r>
      <w:r>
        <w:rPr/>
        <w:t xml:space="preserve">mutant didn’t result in inflammatory response or increase proliferation, and also demonstrated that lack of </w:t>
      </w:r>
      <w:r>
        <w:rPr>
          <w:rStyle w:val="Emphasis"/>
        </w:rPr>
        <w:t xml:space="preserve">cagG </w:t>
      </w:r>
      <w:r>
        <w:rPr/>
        <w:t xml:space="preserve">gene leads in loss of CagA translocation/phosphorylation.**Recent reports showed that loss of </w:t>
      </w:r>
      <w:r>
        <w:rPr>
          <w:rStyle w:val="Emphasis"/>
        </w:rPr>
        <w:t xml:space="preserve">cagG </w:t>
      </w:r>
      <w:r>
        <w:rPr/>
        <w:t xml:space="preserve">genotype have reduced adherence to epithelial cells.* An in vivo study in China have also illustrated no relationship between </w:t>
      </w:r>
      <w:r>
        <w:rPr>
          <w:rStyle w:val="Emphasis"/>
        </w:rPr>
        <w:t xml:space="preserve">cagG </w:t>
      </w:r>
      <w:r>
        <w:rPr/>
        <w:t xml:space="preserve">and clinical outcomes. Most reports, suggested that lack of </w:t>
      </w:r>
      <w:r>
        <w:rPr>
          <w:rStyle w:val="Emphasis"/>
        </w:rPr>
        <w:t xml:space="preserve">cagG </w:t>
      </w:r>
      <w:r>
        <w:rPr/>
        <w:t xml:space="preserve">genotype leads in complete removal of </w:t>
      </w:r>
      <w:r>
        <w:rPr>
          <w:rStyle w:val="Emphasis"/>
        </w:rPr>
        <w:t xml:space="preserve">H. pylori </w:t>
      </w:r>
      <w:r>
        <w:rPr/>
        <w:t xml:space="preserve">IL-8 induction.**However, other studies suggested that copmlete deletion of </w:t>
      </w:r>
      <w:r>
        <w:rPr>
          <w:rStyle w:val="Emphasis"/>
        </w:rPr>
        <w:t xml:space="preserve">cagG </w:t>
      </w:r>
      <w:r>
        <w:rPr/>
        <w:t xml:space="preserve">gene resulted in no reduction in IL-8 induction,** according to these data it is impossible to distinguish whether or not lack of inflammation with </w:t>
      </w:r>
      <w:r>
        <w:rPr>
          <w:rStyle w:val="Emphasis"/>
        </w:rPr>
        <w:t xml:space="preserve">cagG </w:t>
      </w:r>
      <w:r>
        <w:rPr/>
        <w:t xml:space="preserve">mutant is associated with reduced colonization, loss of T4SS, or both.* A study on 145 isolates in china showed that </w:t>
      </w:r>
      <w:r>
        <w:rPr>
          <w:rStyle w:val="Emphasis"/>
        </w:rPr>
        <w:t xml:space="preserve">cagG </w:t>
      </w:r>
      <w:r>
        <w:rPr/>
        <w:t xml:space="preserve">was detected in 91. 7% </w:t>
      </w:r>
      <w:r>
        <w:rPr>
          <w:rStyle w:val="Emphasis"/>
        </w:rPr>
        <w:t xml:space="preserve">H. pylori </w:t>
      </w:r>
      <w:r>
        <w:rPr/>
        <w:t xml:space="preserve">isolates, 100% of isolates from patients with PU (Duodenal Ulcer and Gastric Ulcer) were </w:t>
      </w:r>
      <w:r>
        <w:rPr>
          <w:rStyle w:val="Emphasis"/>
        </w:rPr>
        <w:t xml:space="preserve">cagG </w:t>
      </w:r>
      <w:r>
        <w:rPr/>
        <w:t xml:space="preserve">positive which was high , but not statistically significant ( </w:t>
      </w:r>
      <w:r>
        <w:rPr>
          <w:rStyle w:val="Emphasis"/>
        </w:rPr>
        <w:t xml:space="preserve">P </w:t>
      </w:r>
      <w:r>
        <w:rPr/>
        <w:t xml:space="preserve">&gt; 0. 05). </w:t>
      </w:r>
      <w:r>
        <w:rPr>
          <w:rStyle w:val="Emphasis"/>
        </w:rPr>
        <w:t xml:space="preserve">cagG </w:t>
      </w:r>
      <w:r>
        <w:rPr/>
        <w:t xml:space="preserve">genotype was known as a conservative gene in chines population and there was no significant differences in the frequencies of </w:t>
      </w:r>
      <w:r>
        <w:rPr>
          <w:rStyle w:val="Emphasis"/>
        </w:rPr>
        <w:t xml:space="preserve">cagG </w:t>
      </w:r>
      <w:r>
        <w:rPr/>
        <w:t xml:space="preserve">gene in isolates from patients with various digestive disease.** Hsu </w:t>
      </w:r>
      <w:r>
        <w:rPr>
          <w:rStyle w:val="Emphasis"/>
        </w:rPr>
        <w:t xml:space="preserve">et al </w:t>
      </w:r>
      <w:r>
        <w:rPr/>
        <w:t xml:space="preserve">reported that of the 120 isolates from patients with different gastrointestinal disease in Korea 86. 7% (104/120) were </w:t>
      </w:r>
      <w:r>
        <w:rPr>
          <w:rStyle w:val="Emphasis"/>
        </w:rPr>
        <w:t xml:space="preserve">cagG </w:t>
      </w:r>
      <w:r>
        <w:rPr/>
        <w:t xml:space="preserve">positive.** Mizushamia </w:t>
      </w:r>
      <w:r>
        <w:rPr>
          <w:rStyle w:val="Emphasis"/>
        </w:rPr>
        <w:t xml:space="preserve">et al </w:t>
      </w:r>
      <w:r>
        <w:rPr/>
        <w:t xml:space="preserve">used PCR to investigate the distribution of </w:t>
      </w:r>
      <w:r>
        <w:rPr>
          <w:rStyle w:val="Emphasis"/>
        </w:rPr>
        <w:t xml:space="preserve">cagG </w:t>
      </w:r>
      <w:r>
        <w:rPr/>
        <w:t xml:space="preserve">gene in 236 clinical </w:t>
      </w:r>
      <w:r>
        <w:rPr>
          <w:rStyle w:val="Emphasis"/>
        </w:rPr>
        <w:t xml:space="preserve">H. pylori </w:t>
      </w:r>
      <w:r>
        <w:rPr/>
        <w:t xml:space="preserve">isolates in Japan, and found that 97% of isolates were </w:t>
      </w:r>
      <w:r>
        <w:rPr>
          <w:rStyle w:val="Emphasis"/>
        </w:rPr>
        <w:t xml:space="preserve">cagG </w:t>
      </w:r>
      <w:r>
        <w:rPr/>
        <w:t xml:space="preserve">positive. For both isolates from Korea and Japan ( </w:t>
      </w:r>
      <w:r>
        <w:rPr>
          <w:rStyle w:val="Emphasis"/>
        </w:rPr>
        <w:t xml:space="preserve">P </w:t>
      </w:r>
      <w:r>
        <w:rPr/>
        <w:t xml:space="preserve">&gt; 0. 05), demonstrating no significant association with gastrointestinal disease.**In other study level of gastric mucosal inflammation was compared in the antrum and body (corpus) of both </w:t>
      </w:r>
      <w:r>
        <w:rPr>
          <w:rStyle w:val="Emphasis"/>
        </w:rPr>
        <w:t xml:space="preserve">cagG </w:t>
      </w:r>
      <w:r>
        <w:rPr/>
        <w:t xml:space="preserve">positive and negative group, it was illustrated that the level of inflammation was relatively higher in </w:t>
      </w:r>
      <w:r>
        <w:rPr>
          <w:rStyle w:val="Emphasis"/>
        </w:rPr>
        <w:t xml:space="preserve">cagG </w:t>
      </w:r>
      <w:r>
        <w:rPr/>
        <w:t xml:space="preserve">positive than </w:t>
      </w:r>
      <w:r>
        <w:rPr>
          <w:rStyle w:val="Emphasis"/>
        </w:rPr>
        <w:t xml:space="preserve">cagG </w:t>
      </w:r>
      <w:r>
        <w:rPr/>
        <w:t xml:space="preserve">negative group, both in antrum and body, ( </w:t>
      </w:r>
      <w:r>
        <w:rPr>
          <w:rStyle w:val="Emphasis"/>
        </w:rPr>
        <w:t xml:space="preserve">P </w:t>
      </w:r>
      <w:r>
        <w:rPr/>
        <w:t xml:space="preserve">&gt; 0. 05). resulting </w:t>
      </w:r>
      <w:r>
        <w:rPr>
          <w:rStyle w:val="Emphasis"/>
        </w:rPr>
        <w:t xml:space="preserve">cagG </w:t>
      </w:r>
      <w:r>
        <w:rPr/>
        <w:t xml:space="preserve">genotype has no relationship with intensity of gastritis.**The prior results concordant with our results, we concluded that </w:t>
      </w:r>
      <w:r>
        <w:rPr>
          <w:rStyle w:val="Emphasis"/>
        </w:rPr>
        <w:t xml:space="preserve">cagG </w:t>
      </w:r>
      <w:r>
        <w:rPr/>
        <w:t xml:space="preserve">genotype had no remarkable association with digestive disease in Iran ( </w:t>
      </w:r>
      <w:r>
        <w:rPr>
          <w:rStyle w:val="Emphasis"/>
        </w:rPr>
        <w:t xml:space="preserve">P </w:t>
      </w:r>
      <w:r>
        <w:rPr/>
        <w:t xml:space="preserve">&gt; 0. 05). </w:t>
      </w:r>
    </w:p>
    <w:p>
      <w:pPr>
        <w:pStyle w:val="TextBody"/>
        <w:bidi w:val="0"/>
        <w:spacing w:before="0" w:after="283"/>
        <w:jc w:val="start"/>
        <w:rPr/>
      </w:pPr>
      <w:r>
        <w:rPr/>
        <w:t xml:space="preserve">A recent study on </w:t>
      </w:r>
      <w:r>
        <w:rPr>
          <w:rStyle w:val="Emphasis"/>
        </w:rPr>
        <w:t xml:space="preserve">cagL </w:t>
      </w:r>
      <w:r>
        <w:rPr/>
        <w:t xml:space="preserve">genotype in India, illustrated that 86. 6% of isolates were </w:t>
      </w:r>
      <w:r>
        <w:rPr>
          <w:rStyle w:val="Emphasis"/>
        </w:rPr>
        <w:t xml:space="preserve">cagL </w:t>
      </w:r>
      <w:r>
        <w:rPr/>
        <w:t xml:space="preserve">positive.***other studies in Malaysia, Singapore, and Taiwan demonstrated &gt; 85% of the isolates were </w:t>
      </w:r>
      <w:r>
        <w:rPr>
          <w:rStyle w:val="Emphasis"/>
        </w:rPr>
        <w:t xml:space="preserve">cagL </w:t>
      </w:r>
      <w:r>
        <w:rPr/>
        <w:t xml:space="preserve">positive,** furthermore, the presence of RGD motif in the isolates suggested that the CagA oncoprotein translocation is mediated by an RGD dependent pathway, therefore it is crucial to find out whether or not the </w:t>
      </w:r>
      <w:r>
        <w:rPr>
          <w:rStyle w:val="Emphasis"/>
        </w:rPr>
        <w:t xml:space="preserve">cagL </w:t>
      </w:r>
      <w:r>
        <w:rPr/>
        <w:t xml:space="preserve">amino acid sequence polymorphisms are correlated with clinical outcomes.??? A study on 61 isolates from patients with digestive disease in Iran, showed that 96. 7% were </w:t>
      </w:r>
      <w:r>
        <w:rPr>
          <w:rStyle w:val="Emphasis"/>
        </w:rPr>
        <w:t xml:space="preserve">cagL </w:t>
      </w:r>
      <w:r>
        <w:rPr/>
        <w:t xml:space="preserve">positive. This report was concordant with the results from Taiwan (98. 6%)***most of the patients were </w:t>
      </w:r>
      <w:r>
        <w:rPr>
          <w:rStyle w:val="Emphasis"/>
        </w:rPr>
        <w:t xml:space="preserve">cagL </w:t>
      </w:r>
      <w:r>
        <w:rPr/>
        <w:t xml:space="preserve">positive, but no remarkable association was detected between the cagL genotype and clinical outcomes ( </w:t>
      </w:r>
      <w:r>
        <w:rPr>
          <w:rStyle w:val="Emphasis"/>
        </w:rPr>
        <w:t xml:space="preserve">P </w:t>
      </w:r>
      <w:r>
        <w:rPr/>
        <w:t xml:space="preserve">&gt; 0. 05).** these results are in consistent with our results in GC group but not in PU group, demonstrating that </w:t>
      </w:r>
      <w:r>
        <w:rPr>
          <w:rStyle w:val="Emphasis"/>
        </w:rPr>
        <w:t xml:space="preserve">cagL </w:t>
      </w:r>
      <w:r>
        <w:rPr/>
        <w:t xml:space="preserve">genotype is remarkably and independently associated with the risk of PU in Iran ( </w:t>
      </w:r>
      <w:r>
        <w:rPr>
          <w:rStyle w:val="Emphasis"/>
        </w:rPr>
        <w:t xml:space="preserve">P </w:t>
      </w:r>
      <w:r>
        <w:rPr/>
        <w:t xml:space="preserve">= 0. 021), but no association was found with the risk of GC. </w:t>
      </w:r>
    </w:p>
    <w:p>
      <w:pPr>
        <w:pStyle w:val="TextBody"/>
        <w:bidi w:val="0"/>
        <w:spacing w:before="0" w:after="283"/>
        <w:jc w:val="start"/>
        <w:rPr/>
      </w:pPr>
      <w:r>
        <w:rPr>
          <w:rStyle w:val="Emphasis"/>
        </w:rPr>
        <w:t xml:space="preserve">cagH </w:t>
      </w:r>
      <w:r>
        <w:rPr/>
        <w:t xml:space="preserve">and </w:t>
      </w:r>
      <w:r>
        <w:rPr>
          <w:rStyle w:val="Emphasis"/>
        </w:rPr>
        <w:t xml:space="preserve">orf17 </w:t>
      </w:r>
      <w:r>
        <w:rPr/>
        <w:t xml:space="preserve">have not been surveyed on genomics level; however, we found out the </w:t>
      </w:r>
      <w:r>
        <w:rPr>
          <w:rStyle w:val="Emphasis"/>
        </w:rPr>
        <w:t xml:space="preserve">cagH </w:t>
      </w:r>
      <w:r>
        <w:rPr/>
        <w:t xml:space="preserve">genotype had no relationship with gastrointestinal disease in Iran ( </w:t>
      </w:r>
      <w:r>
        <w:rPr>
          <w:rStyle w:val="Emphasis"/>
        </w:rPr>
        <w:t xml:space="preserve">P </w:t>
      </w:r>
      <w:r>
        <w:rPr/>
        <w:t xml:space="preserve">&gt; 0. 05), and we concluded that </w:t>
      </w:r>
      <w:r>
        <w:rPr>
          <w:rStyle w:val="Emphasis"/>
        </w:rPr>
        <w:t xml:space="preserve">orf17 </w:t>
      </w:r>
      <w:r>
        <w:rPr/>
        <w:t xml:space="preserve">genotype had no association with GC group ( </w:t>
      </w:r>
      <w:r>
        <w:rPr>
          <w:rStyle w:val="Emphasis"/>
        </w:rPr>
        <w:t xml:space="preserve">P </w:t>
      </w:r>
      <w:r>
        <w:rPr/>
        <w:t xml:space="preserve">&gt; 0. 05) but there was a remarkable relationship between </w:t>
      </w:r>
      <w:r>
        <w:rPr>
          <w:rStyle w:val="Emphasis"/>
        </w:rPr>
        <w:t xml:space="preserve">orf17 </w:t>
      </w:r>
      <w:r>
        <w:rPr/>
        <w:t xml:space="preserve">gene and an increased risk of PU in Iran ( </w:t>
      </w:r>
      <w:r>
        <w:rPr>
          <w:rStyle w:val="Emphasis"/>
        </w:rPr>
        <w:t xml:space="preserve">P </w:t>
      </w:r>
      <w:r>
        <w:rPr/>
        <w:t xml:space="preserve">= 0. 015). </w:t>
      </w:r>
    </w:p>
    <w:p>
      <w:pPr>
        <w:pStyle w:val="Heading2"/>
        <w:bidi w:val="0"/>
        <w:jc w:val="start"/>
        <w:rPr/>
      </w:pPr>
      <w:r>
        <w:rPr/>
        <w:t xml:space="preserve">Conclusion </w:t>
      </w:r>
    </w:p>
    <w:p>
      <w:pPr>
        <w:pStyle w:val="TextBody"/>
        <w:bidi w:val="0"/>
        <w:spacing w:before="0" w:after="283"/>
        <w:jc w:val="start"/>
        <w:rPr/>
      </w:pPr>
      <w:r>
        <w:rPr/>
        <w:t xml:space="preserve">We concluded that, if specific </w:t>
      </w:r>
      <w:r>
        <w:rPr>
          <w:rStyle w:val="Emphasis"/>
        </w:rPr>
        <w:t xml:space="preserve">H. pylori </w:t>
      </w:r>
      <w:r>
        <w:rPr/>
        <w:t xml:space="preserve">virulent biomarkers can be known to predict PU or GC risk, patients with NAG can be selected for </w:t>
      </w:r>
      <w:r>
        <w:rPr>
          <w:rStyle w:val="Emphasis"/>
        </w:rPr>
        <w:t xml:space="preserve">H. pylori </w:t>
      </w:r>
      <w:r>
        <w:rPr/>
        <w:t xml:space="preserve">eradication, and also several virulence factors must be studied simultaneously, in order to clarify the correlation between the virulence factors and gastrointestinal disease. It is proposed that the </w:t>
      </w:r>
      <w:r>
        <w:rPr>
          <w:rStyle w:val="Emphasis"/>
        </w:rPr>
        <w:t xml:space="preserve">orf17 </w:t>
      </w:r>
      <w:r>
        <w:rPr/>
        <w:t xml:space="preserve">and specially </w:t>
      </w:r>
      <w:r>
        <w:rPr>
          <w:rStyle w:val="Emphasis"/>
        </w:rPr>
        <w:t xml:space="preserve">cagL </w:t>
      </w:r>
      <w:r>
        <w:rPr/>
        <w:t xml:space="preserve">genotypes of </w:t>
      </w:r>
      <w:r>
        <w:rPr>
          <w:rStyle w:val="Emphasis"/>
        </w:rPr>
        <w:t xml:space="preserve">H. pylori cag </w:t>
      </w:r>
      <w:r>
        <w:rPr/>
        <w:t xml:space="preserve">PAI might be as beneficial factors for the risk prediction of PU, but not GC in Iran. This report is the first one regarding the relevance of </w:t>
      </w:r>
      <w:r>
        <w:rPr>
          <w:rStyle w:val="Emphasis"/>
        </w:rPr>
        <w:t xml:space="preserve">H. pylori orf17 </w:t>
      </w:r>
      <w:r>
        <w:rPr/>
        <w:t xml:space="preserve">genotype to PU in Iran(ØªÙˆ Ø¨Ø®Ø´ Ø¯ÛŒÚ¯Ù‡ Ø§ÛŒ Ø¨ÛŒØ§Ø±Ù… Ø§ÛŒÙ† Ø¬Ù…Ù„ Ù‡ Ø±Ùˆ Ø¨Ù‡ØªØ± Ù†ÛŒØ³ØªØŸØŸØŸØŸ!!). No remarkable correlation was found between the </w:t>
      </w:r>
      <w:r>
        <w:rPr>
          <w:rStyle w:val="Emphasis"/>
        </w:rPr>
        <w:t xml:space="preserve">cagH </w:t>
      </w:r>
      <w:r>
        <w:rPr/>
        <w:t xml:space="preserve">and </w:t>
      </w:r>
      <w:r>
        <w:rPr>
          <w:rStyle w:val="Emphasis"/>
        </w:rPr>
        <w:t xml:space="preserve">cagG </w:t>
      </w:r>
      <w:r>
        <w:rPr/>
        <w:t xml:space="preserve">genotypes and the risk of both the PU and GC in Iran. Genotypes combination analysis showed that </w:t>
      </w:r>
      <w:r>
        <w:rPr>
          <w:rStyle w:val="Emphasis"/>
        </w:rPr>
        <w:t xml:space="preserve">cagH </w:t>
      </w:r>
      <w:r>
        <w:rPr/>
        <w:t xml:space="preserve">/ </w:t>
      </w:r>
      <w:r>
        <w:rPr>
          <w:rStyle w:val="Emphasis"/>
        </w:rPr>
        <w:t xml:space="preserve">cagG </w:t>
      </w:r>
      <w:r>
        <w:rPr/>
        <w:t xml:space="preserve">decrease the risk of GC in Iran, but no consistent relationship was observed with PU, and </w:t>
      </w:r>
      <w:r>
        <w:rPr>
          <w:rStyle w:val="Emphasis"/>
        </w:rPr>
        <w:t xml:space="preserve">cagH </w:t>
      </w:r>
      <w:r>
        <w:rPr/>
        <w:t xml:space="preserve">/ </w:t>
      </w:r>
      <w:r>
        <w:rPr>
          <w:rStyle w:val="Emphasis"/>
        </w:rPr>
        <w:t xml:space="preserve">orf17 </w:t>
      </w:r>
      <w:r>
        <w:rPr/>
        <w:t xml:space="preserve">and </w:t>
      </w:r>
      <w:r>
        <w:rPr>
          <w:rStyle w:val="Emphasis"/>
        </w:rPr>
        <w:t xml:space="preserve">cagH </w:t>
      </w:r>
      <w:r>
        <w:rPr/>
        <w:t xml:space="preserve">/ </w:t>
      </w:r>
      <w:r>
        <w:rPr>
          <w:rStyle w:val="Emphasis"/>
        </w:rPr>
        <w:t xml:space="preserve">cagL </w:t>
      </w:r>
      <w:r>
        <w:rPr/>
        <w:t>increased the risk of PU, not GC in Iran.(Ø§ÛŒÙ† Ù‚ Ø³Ù…Øª Ø</w:t>
        <w:softHyphen/>
        <w:t xml:space="preserve">Ø°Ù Ø¨Ø´Ù‡ ÛŒØ§ Ù†Ù‡ØŸØŸØŸ!! ØŸ) </w:t>
      </w:r>
    </w:p>
    <w:tbl>
      <w:tblPr>
        <w:tblW w:w="5852" w:type="dxa"/>
        <w:jc w:val="start"/>
        <w:tblInd w:w="0" w:type="dxa"/>
        <w:tblLayout w:type="fixed"/>
        <w:tblCellMar>
          <w:top w:w="28" w:type="dxa"/>
          <w:start w:w="28" w:type="dxa"/>
          <w:bottom w:w="28" w:type="dxa"/>
          <w:end w:w="28" w:type="dxa"/>
        </w:tblCellMar>
      </w:tblPr>
      <w:tblGrid>
        <w:gridCol w:w="1280"/>
        <w:gridCol w:w="998"/>
        <w:gridCol w:w="959"/>
        <w:gridCol w:w="551"/>
        <w:gridCol w:w="585"/>
        <w:gridCol w:w="948"/>
        <w:gridCol w:w="531"/>
      </w:tblGrid>
      <w:tr>
        <w:trPr/>
        <w:tc>
          <w:tcPr>
            <w:tcW w:w="1280" w:type="dxa"/>
            <w:tcBorders/>
            <w:vAlign w:val="center"/>
          </w:tcPr>
          <w:p>
            <w:pPr>
              <w:pStyle w:val="TableContents"/>
              <w:bidi w:val="0"/>
              <w:spacing w:before="0" w:after="283"/>
              <w:jc w:val="start"/>
              <w:rPr/>
            </w:pPr>
            <w:r>
              <w:rPr/>
              <w:t xml:space="preserve">Virulence factors </w:t>
            </w:r>
          </w:p>
        </w:tc>
        <w:tc>
          <w:tcPr>
            <w:tcW w:w="998" w:type="dxa"/>
            <w:tcBorders/>
            <w:vAlign w:val="center"/>
          </w:tcPr>
          <w:p>
            <w:pPr>
              <w:pStyle w:val="TableContents"/>
              <w:bidi w:val="0"/>
              <w:spacing w:before="0" w:after="283"/>
              <w:jc w:val="start"/>
              <w:rPr/>
            </w:pPr>
            <w:r>
              <w:rPr/>
              <w:t xml:space="preserve">Disease type </w:t>
            </w:r>
          </w:p>
        </w:tc>
        <w:tc>
          <w:tcPr>
            <w:tcW w:w="959" w:type="dxa"/>
            <w:tcBorders/>
            <w:vAlign w:val="center"/>
          </w:tcPr>
          <w:p>
            <w:pPr>
              <w:pStyle w:val="TableContents"/>
              <w:bidi w:val="0"/>
              <w:spacing w:before="0" w:after="283"/>
              <w:jc w:val="start"/>
              <w:rPr/>
            </w:pPr>
            <w:r>
              <w:rPr>
                <w:rStyle w:val="Emphasis"/>
              </w:rPr>
              <w:t xml:space="preserve">P </w:t>
            </w:r>
            <w:r>
              <w:rPr/>
              <w:t xml:space="preserve">-value </w:t>
            </w:r>
          </w:p>
        </w:tc>
        <w:tc>
          <w:tcPr>
            <w:tcW w:w="551" w:type="dxa"/>
            <w:tcBorders/>
            <w:vAlign w:val="center"/>
          </w:tcPr>
          <w:p>
            <w:pPr>
              <w:pStyle w:val="TableContents"/>
              <w:bidi w:val="0"/>
              <w:spacing w:before="0" w:after="283"/>
              <w:jc w:val="start"/>
              <w:rPr/>
            </w:pPr>
            <w:r>
              <w:rPr/>
              <w:t xml:space="preserve">OR </w:t>
            </w:r>
          </w:p>
        </w:tc>
        <w:tc>
          <w:tcPr>
            <w:tcW w:w="585" w:type="dxa"/>
            <w:tcBorders/>
            <w:vAlign w:val="center"/>
          </w:tcPr>
          <w:p>
            <w:pPr>
              <w:pStyle w:val="TableContents"/>
              <w:bidi w:val="0"/>
              <w:spacing w:before="0" w:after="283"/>
              <w:jc w:val="start"/>
              <w:rPr/>
            </w:pPr>
            <w:r>
              <w:rPr/>
              <w:t xml:space="preserve">CI </w:t>
            </w:r>
          </w:p>
        </w:tc>
        <w:tc>
          <w:tcPr>
            <w:tcW w:w="948" w:type="dxa"/>
            <w:tcBorders/>
            <w:vAlign w:val="center"/>
          </w:tcPr>
          <w:p>
            <w:pPr>
              <w:pStyle w:val="TableContents"/>
              <w:bidi w:val="0"/>
              <w:spacing w:before="0" w:after="283"/>
              <w:jc w:val="start"/>
              <w:rPr/>
            </w:pPr>
            <w:r>
              <w:rPr/>
              <w:t xml:space="preserve">Total strains </w:t>
            </w:r>
          </w:p>
        </w:tc>
        <w:tc>
          <w:tcPr>
            <w:tcW w:w="531" w:type="dxa"/>
            <w:tcBorders/>
          </w:tcPr>
          <w:p>
            <w:pPr>
              <w:pStyle w:val="TableContents"/>
              <w:bidi w:val="0"/>
              <w:spacing w:before="0" w:after="283"/>
              <w:jc w:val="start"/>
              <w:rPr>
                <w:sz w:val="4"/>
                <w:szCs w:val="4"/>
              </w:rPr>
            </w:pPr>
            <w:r>
              <w:rPr>
                <w:sz w:val="4"/>
                <w:szCs w:val="4"/>
              </w:rPr>
            </w:r>
          </w:p>
        </w:tc>
      </w:tr>
      <w:tr>
        <w:trPr/>
        <w:tc>
          <w:tcPr>
            <w:tcW w:w="1280" w:type="dxa"/>
            <w:tcBorders/>
            <w:vAlign w:val="center"/>
          </w:tcPr>
          <w:p>
            <w:pPr>
              <w:pStyle w:val="TableContents"/>
              <w:bidi w:val="0"/>
              <w:jc w:val="start"/>
              <w:rPr/>
            </w:pPr>
            <w:r>
              <w:rPr/>
              <w:t xml:space="preserve">PU </w:t>
            </w:r>
          </w:p>
          <w:p>
            <w:pPr>
              <w:pStyle w:val="TableContents"/>
              <w:bidi w:val="0"/>
              <w:spacing w:before="0" w:after="283"/>
              <w:jc w:val="start"/>
              <w:rPr/>
            </w:pPr>
            <w:r>
              <w:rPr/>
              <w:t xml:space="preserve">N (%) </w:t>
            </w:r>
          </w:p>
        </w:tc>
        <w:tc>
          <w:tcPr>
            <w:tcW w:w="998" w:type="dxa"/>
            <w:tcBorders/>
            <w:vAlign w:val="center"/>
          </w:tcPr>
          <w:p>
            <w:pPr>
              <w:pStyle w:val="TableContents"/>
              <w:bidi w:val="0"/>
              <w:jc w:val="start"/>
              <w:rPr/>
            </w:pPr>
            <w:r>
              <w:rPr/>
              <w:t xml:space="preserve">NAG </w:t>
            </w:r>
          </w:p>
          <w:p>
            <w:pPr>
              <w:pStyle w:val="TableContents"/>
              <w:bidi w:val="0"/>
              <w:spacing w:before="0" w:after="283"/>
              <w:jc w:val="start"/>
              <w:rPr/>
            </w:pPr>
            <w:r>
              <w:rPr/>
              <w:t xml:space="preserve">N (%) </w:t>
            </w:r>
          </w:p>
        </w:tc>
        <w:tc>
          <w:tcPr>
            <w:tcW w:w="3043" w:type="dxa"/>
            <w:gridSpan w:val="4"/>
            <w:tcBorders/>
          </w:tcPr>
          <w:p>
            <w:pPr>
              <w:pStyle w:val="TableContents"/>
              <w:bidi w:val="0"/>
              <w:spacing w:before="0" w:after="283"/>
              <w:jc w:val="start"/>
              <w:rPr>
                <w:sz w:val="4"/>
                <w:szCs w:val="4"/>
              </w:rPr>
            </w:pPr>
            <w:r>
              <w:rPr>
                <w:sz w:val="4"/>
                <w:szCs w:val="4"/>
              </w:rPr>
            </w:r>
          </w:p>
        </w:tc>
        <w:tc>
          <w:tcPr>
            <w:tcW w:w="531" w:type="dxa"/>
            <w:tcBorders/>
          </w:tcPr>
          <w:p>
            <w:pPr>
              <w:pStyle w:val="TableContents"/>
              <w:bidi w:val="0"/>
              <w:spacing w:before="0" w:after="283"/>
              <w:jc w:val="start"/>
              <w:rPr>
                <w:sz w:val="4"/>
                <w:szCs w:val="4"/>
              </w:rPr>
            </w:pPr>
            <w:r>
              <w:rPr>
                <w:sz w:val="4"/>
                <w:szCs w:val="4"/>
              </w:rPr>
            </w:r>
          </w:p>
        </w:tc>
      </w:tr>
      <w:tr>
        <w:trPr/>
        <w:tc>
          <w:tcPr>
            <w:tcW w:w="1280" w:type="dxa"/>
            <w:tcBorders/>
            <w:vAlign w:val="center"/>
          </w:tcPr>
          <w:p>
            <w:pPr>
              <w:pStyle w:val="TableContents"/>
              <w:bidi w:val="0"/>
              <w:spacing w:before="0" w:after="283"/>
              <w:jc w:val="start"/>
              <w:rPr/>
            </w:pPr>
            <w:r>
              <w:rPr>
                <w:rStyle w:val="Emphasis"/>
              </w:rPr>
              <w:t xml:space="preserve">cagH </w:t>
            </w:r>
          </w:p>
        </w:tc>
        <w:tc>
          <w:tcPr>
            <w:tcW w:w="998" w:type="dxa"/>
            <w:tcBorders/>
            <w:vAlign w:val="center"/>
          </w:tcPr>
          <w:p>
            <w:pPr>
              <w:pStyle w:val="TableContents"/>
              <w:bidi w:val="0"/>
              <w:spacing w:before="0" w:after="283"/>
              <w:jc w:val="start"/>
              <w:rPr/>
            </w:pPr>
            <w:r>
              <w:rPr/>
              <w:t xml:space="preserve">40/54 (74. 1) </w:t>
            </w:r>
          </w:p>
        </w:tc>
        <w:tc>
          <w:tcPr>
            <w:tcW w:w="959" w:type="dxa"/>
            <w:tcBorders/>
            <w:vAlign w:val="center"/>
          </w:tcPr>
          <w:p>
            <w:pPr>
              <w:pStyle w:val="TableContents"/>
              <w:bidi w:val="0"/>
              <w:spacing w:before="0" w:after="283"/>
              <w:jc w:val="start"/>
              <w:rPr/>
            </w:pPr>
            <w:r>
              <w:rPr/>
              <w:t xml:space="preserve">87/146 (59. 6) </w:t>
            </w:r>
          </w:p>
        </w:tc>
        <w:tc>
          <w:tcPr>
            <w:tcW w:w="551" w:type="dxa"/>
            <w:tcBorders/>
            <w:vAlign w:val="center"/>
          </w:tcPr>
          <w:p>
            <w:pPr>
              <w:pStyle w:val="TableContents"/>
              <w:bidi w:val="0"/>
              <w:spacing w:before="0" w:after="283"/>
              <w:jc w:val="start"/>
              <w:rPr/>
            </w:pPr>
            <w:r>
              <w:rPr/>
              <w:t xml:space="preserve">0. 061 </w:t>
            </w:r>
          </w:p>
        </w:tc>
        <w:tc>
          <w:tcPr>
            <w:tcW w:w="585" w:type="dxa"/>
            <w:tcBorders/>
            <w:vAlign w:val="center"/>
          </w:tcPr>
          <w:p>
            <w:pPr>
              <w:pStyle w:val="TableContents"/>
              <w:bidi w:val="0"/>
              <w:spacing w:before="0" w:after="283"/>
              <w:jc w:val="start"/>
              <w:rPr/>
            </w:pPr>
            <w:r>
              <w:rPr/>
              <w:t xml:space="preserve">1. 938 </w:t>
            </w:r>
          </w:p>
        </w:tc>
        <w:tc>
          <w:tcPr>
            <w:tcW w:w="948" w:type="dxa"/>
            <w:tcBorders/>
            <w:vAlign w:val="center"/>
          </w:tcPr>
          <w:p>
            <w:pPr>
              <w:pStyle w:val="TableContents"/>
              <w:bidi w:val="0"/>
              <w:spacing w:before="0" w:after="283"/>
              <w:jc w:val="start"/>
              <w:rPr/>
            </w:pPr>
            <w:r>
              <w:rPr/>
              <w:t xml:space="preserve">0. 969-3. 873 </w:t>
            </w:r>
          </w:p>
        </w:tc>
        <w:tc>
          <w:tcPr>
            <w:tcW w:w="531" w:type="dxa"/>
            <w:tcBorders/>
            <w:vAlign w:val="center"/>
          </w:tcPr>
          <w:p>
            <w:pPr>
              <w:pStyle w:val="TableContents"/>
              <w:bidi w:val="0"/>
              <w:spacing w:before="0" w:after="283"/>
              <w:jc w:val="start"/>
              <w:rPr/>
            </w:pPr>
            <w:r>
              <w:rPr/>
              <w:t xml:space="preserve">127 </w:t>
            </w:r>
          </w:p>
        </w:tc>
      </w:tr>
      <w:tr>
        <w:trPr/>
        <w:tc>
          <w:tcPr>
            <w:tcW w:w="1280" w:type="dxa"/>
            <w:tcBorders/>
            <w:vAlign w:val="center"/>
          </w:tcPr>
          <w:p>
            <w:pPr>
              <w:pStyle w:val="TableContents"/>
              <w:bidi w:val="0"/>
              <w:spacing w:before="0" w:after="283"/>
              <w:jc w:val="start"/>
              <w:rPr/>
            </w:pPr>
            <w:r>
              <w:rPr>
                <w:rStyle w:val="Emphasis"/>
              </w:rPr>
              <w:t xml:space="preserve">cagL </w:t>
            </w:r>
          </w:p>
        </w:tc>
        <w:tc>
          <w:tcPr>
            <w:tcW w:w="998" w:type="dxa"/>
            <w:tcBorders/>
            <w:vAlign w:val="center"/>
          </w:tcPr>
          <w:p>
            <w:pPr>
              <w:pStyle w:val="TableContents"/>
              <w:bidi w:val="0"/>
              <w:spacing w:before="0" w:after="283"/>
              <w:jc w:val="start"/>
              <w:rPr/>
            </w:pPr>
            <w:r>
              <w:rPr/>
              <w:t xml:space="preserve">53/54 (98. 1) </w:t>
            </w:r>
          </w:p>
        </w:tc>
        <w:tc>
          <w:tcPr>
            <w:tcW w:w="959" w:type="dxa"/>
            <w:tcBorders/>
            <w:vAlign w:val="center"/>
          </w:tcPr>
          <w:p>
            <w:pPr>
              <w:pStyle w:val="TableContents"/>
              <w:bidi w:val="0"/>
              <w:spacing w:before="0" w:after="283"/>
              <w:jc w:val="start"/>
              <w:rPr/>
            </w:pPr>
            <w:r>
              <w:rPr/>
              <w:t xml:space="preserve">121/146 (82. 9) </w:t>
            </w:r>
          </w:p>
        </w:tc>
        <w:tc>
          <w:tcPr>
            <w:tcW w:w="551" w:type="dxa"/>
            <w:tcBorders/>
            <w:vAlign w:val="center"/>
          </w:tcPr>
          <w:p>
            <w:pPr>
              <w:pStyle w:val="TableContents"/>
              <w:bidi w:val="0"/>
              <w:spacing w:before="0" w:after="283"/>
              <w:jc w:val="start"/>
              <w:rPr/>
            </w:pPr>
            <w:r>
              <w:rPr/>
              <w:t xml:space="preserve">0. 021 </w:t>
            </w:r>
          </w:p>
        </w:tc>
        <w:tc>
          <w:tcPr>
            <w:tcW w:w="585" w:type="dxa"/>
            <w:tcBorders/>
            <w:vAlign w:val="center"/>
          </w:tcPr>
          <w:p>
            <w:pPr>
              <w:pStyle w:val="TableContents"/>
              <w:bidi w:val="0"/>
              <w:spacing w:before="0" w:after="283"/>
              <w:jc w:val="start"/>
              <w:rPr/>
            </w:pPr>
            <w:r>
              <w:rPr/>
              <w:t xml:space="preserve">10. 950 </w:t>
            </w:r>
          </w:p>
        </w:tc>
        <w:tc>
          <w:tcPr>
            <w:tcW w:w="948" w:type="dxa"/>
            <w:tcBorders/>
            <w:vAlign w:val="center"/>
          </w:tcPr>
          <w:p>
            <w:pPr>
              <w:pStyle w:val="TableContents"/>
              <w:bidi w:val="0"/>
              <w:spacing w:before="0" w:after="283"/>
              <w:jc w:val="start"/>
              <w:rPr/>
            </w:pPr>
            <w:r>
              <w:rPr/>
              <w:t xml:space="preserve">1. 446-82. 935 </w:t>
            </w:r>
          </w:p>
        </w:tc>
        <w:tc>
          <w:tcPr>
            <w:tcW w:w="531" w:type="dxa"/>
            <w:tcBorders/>
            <w:vAlign w:val="center"/>
          </w:tcPr>
          <w:p>
            <w:pPr>
              <w:pStyle w:val="TableContents"/>
              <w:bidi w:val="0"/>
              <w:spacing w:before="0" w:after="283"/>
              <w:jc w:val="start"/>
              <w:rPr/>
            </w:pPr>
            <w:r>
              <w:rPr/>
              <w:t xml:space="preserve">174 </w:t>
            </w:r>
          </w:p>
        </w:tc>
      </w:tr>
      <w:tr>
        <w:trPr/>
        <w:tc>
          <w:tcPr>
            <w:tcW w:w="1280" w:type="dxa"/>
            <w:tcBorders/>
            <w:vAlign w:val="center"/>
          </w:tcPr>
          <w:p>
            <w:pPr>
              <w:pStyle w:val="TableContents"/>
              <w:bidi w:val="0"/>
              <w:spacing w:before="0" w:after="283"/>
              <w:jc w:val="start"/>
              <w:rPr/>
            </w:pPr>
            <w:r>
              <w:rPr>
                <w:rStyle w:val="Emphasis"/>
              </w:rPr>
              <w:t xml:space="preserve">cagG </w:t>
            </w:r>
          </w:p>
        </w:tc>
        <w:tc>
          <w:tcPr>
            <w:tcW w:w="998" w:type="dxa"/>
            <w:tcBorders/>
            <w:vAlign w:val="center"/>
          </w:tcPr>
          <w:p>
            <w:pPr>
              <w:pStyle w:val="TableContents"/>
              <w:bidi w:val="0"/>
              <w:spacing w:before="0" w:after="283"/>
              <w:jc w:val="start"/>
              <w:rPr/>
            </w:pPr>
            <w:r>
              <w:rPr/>
              <w:t xml:space="preserve">38/54 (70. 4) </w:t>
            </w:r>
          </w:p>
        </w:tc>
        <w:tc>
          <w:tcPr>
            <w:tcW w:w="959" w:type="dxa"/>
            <w:tcBorders/>
            <w:vAlign w:val="center"/>
          </w:tcPr>
          <w:p>
            <w:pPr>
              <w:pStyle w:val="TableContents"/>
              <w:bidi w:val="0"/>
              <w:spacing w:before="0" w:after="283"/>
              <w:jc w:val="start"/>
              <w:rPr/>
            </w:pPr>
            <w:r>
              <w:rPr/>
              <w:t xml:space="preserve">109/146 (74. 7) </w:t>
            </w:r>
          </w:p>
        </w:tc>
        <w:tc>
          <w:tcPr>
            <w:tcW w:w="551" w:type="dxa"/>
            <w:tcBorders/>
            <w:vAlign w:val="center"/>
          </w:tcPr>
          <w:p>
            <w:pPr>
              <w:pStyle w:val="TableContents"/>
              <w:bidi w:val="0"/>
              <w:spacing w:before="0" w:after="283"/>
              <w:jc w:val="start"/>
              <w:rPr/>
            </w:pPr>
            <w:r>
              <w:rPr/>
              <w:t xml:space="preserve">0. 542 </w:t>
            </w:r>
          </w:p>
        </w:tc>
        <w:tc>
          <w:tcPr>
            <w:tcW w:w="585" w:type="dxa"/>
            <w:tcBorders/>
            <w:vAlign w:val="center"/>
          </w:tcPr>
          <w:p>
            <w:pPr>
              <w:pStyle w:val="TableContents"/>
              <w:bidi w:val="0"/>
              <w:spacing w:before="0" w:after="283"/>
              <w:jc w:val="start"/>
              <w:rPr/>
            </w:pPr>
            <w:r>
              <w:rPr/>
              <w:t xml:space="preserve">0. 806 </w:t>
            </w:r>
          </w:p>
        </w:tc>
        <w:tc>
          <w:tcPr>
            <w:tcW w:w="948" w:type="dxa"/>
            <w:tcBorders/>
            <w:vAlign w:val="center"/>
          </w:tcPr>
          <w:p>
            <w:pPr>
              <w:pStyle w:val="TableContents"/>
              <w:bidi w:val="0"/>
              <w:spacing w:before="0" w:after="283"/>
              <w:jc w:val="start"/>
              <w:rPr/>
            </w:pPr>
            <w:r>
              <w:rPr/>
              <w:t xml:space="preserve">0. 403-1. 612 </w:t>
            </w:r>
          </w:p>
        </w:tc>
        <w:tc>
          <w:tcPr>
            <w:tcW w:w="531" w:type="dxa"/>
            <w:tcBorders/>
            <w:vAlign w:val="center"/>
          </w:tcPr>
          <w:p>
            <w:pPr>
              <w:pStyle w:val="TableContents"/>
              <w:bidi w:val="0"/>
              <w:spacing w:before="0" w:after="283"/>
              <w:jc w:val="start"/>
              <w:rPr/>
            </w:pPr>
            <w:r>
              <w:rPr/>
              <w:t xml:space="preserve">147 </w:t>
            </w:r>
          </w:p>
        </w:tc>
      </w:tr>
      <w:tr>
        <w:trPr/>
        <w:tc>
          <w:tcPr>
            <w:tcW w:w="1280" w:type="dxa"/>
            <w:tcBorders/>
            <w:vAlign w:val="center"/>
          </w:tcPr>
          <w:p>
            <w:pPr>
              <w:pStyle w:val="TableContents"/>
              <w:bidi w:val="0"/>
              <w:spacing w:before="0" w:after="283"/>
              <w:jc w:val="start"/>
              <w:rPr/>
            </w:pPr>
            <w:r>
              <w:rPr>
                <w:rStyle w:val="Emphasis"/>
              </w:rPr>
              <w:t xml:space="preserve">orf17 </w:t>
            </w:r>
          </w:p>
        </w:tc>
        <w:tc>
          <w:tcPr>
            <w:tcW w:w="998" w:type="dxa"/>
            <w:tcBorders/>
            <w:vAlign w:val="center"/>
          </w:tcPr>
          <w:p>
            <w:pPr>
              <w:pStyle w:val="TableContents"/>
              <w:bidi w:val="0"/>
              <w:spacing w:before="0" w:after="283"/>
              <w:jc w:val="start"/>
              <w:rPr/>
            </w:pPr>
            <w:r>
              <w:rPr/>
              <w:t xml:space="preserve">43/54 (79. 6) </w:t>
            </w:r>
          </w:p>
        </w:tc>
        <w:tc>
          <w:tcPr>
            <w:tcW w:w="959" w:type="dxa"/>
            <w:tcBorders/>
            <w:vAlign w:val="center"/>
          </w:tcPr>
          <w:p>
            <w:pPr>
              <w:pStyle w:val="TableContents"/>
              <w:bidi w:val="0"/>
              <w:spacing w:before="0" w:after="283"/>
              <w:jc w:val="start"/>
              <w:rPr/>
            </w:pPr>
            <w:r>
              <w:rPr/>
              <w:t xml:space="preserve">89/146 (61) </w:t>
            </w:r>
          </w:p>
        </w:tc>
        <w:tc>
          <w:tcPr>
            <w:tcW w:w="551" w:type="dxa"/>
            <w:tcBorders/>
            <w:vAlign w:val="center"/>
          </w:tcPr>
          <w:p>
            <w:pPr>
              <w:pStyle w:val="TableContents"/>
              <w:bidi w:val="0"/>
              <w:spacing w:before="0" w:after="283"/>
              <w:jc w:val="start"/>
              <w:rPr/>
            </w:pPr>
            <w:r>
              <w:rPr/>
              <w:t xml:space="preserve">0. 015 </w:t>
            </w:r>
          </w:p>
        </w:tc>
        <w:tc>
          <w:tcPr>
            <w:tcW w:w="585" w:type="dxa"/>
            <w:tcBorders/>
            <w:vAlign w:val="center"/>
          </w:tcPr>
          <w:p>
            <w:pPr>
              <w:pStyle w:val="TableContents"/>
              <w:bidi w:val="0"/>
              <w:spacing w:before="0" w:after="283"/>
              <w:jc w:val="start"/>
              <w:rPr/>
            </w:pPr>
            <w:r>
              <w:rPr/>
              <w:t xml:space="preserve">2. 504 </w:t>
            </w:r>
          </w:p>
        </w:tc>
        <w:tc>
          <w:tcPr>
            <w:tcW w:w="948" w:type="dxa"/>
            <w:tcBorders/>
            <w:vAlign w:val="center"/>
          </w:tcPr>
          <w:p>
            <w:pPr>
              <w:pStyle w:val="TableContents"/>
              <w:bidi w:val="0"/>
              <w:spacing w:before="0" w:after="283"/>
              <w:jc w:val="start"/>
              <w:rPr/>
            </w:pPr>
            <w:r>
              <w:rPr/>
              <w:t xml:space="preserve">1. 193-5. 253 </w:t>
            </w:r>
          </w:p>
        </w:tc>
        <w:tc>
          <w:tcPr>
            <w:tcW w:w="531" w:type="dxa"/>
            <w:tcBorders/>
            <w:vAlign w:val="center"/>
          </w:tcPr>
          <w:p>
            <w:pPr>
              <w:pStyle w:val="TableContents"/>
              <w:bidi w:val="0"/>
              <w:spacing w:before="0" w:after="283"/>
              <w:jc w:val="start"/>
              <w:rPr/>
            </w:pPr>
            <w:r>
              <w:rPr/>
              <w:t xml:space="preserve">132 </w:t>
            </w:r>
          </w:p>
        </w:tc>
      </w:tr>
      <w:tr>
        <w:trPr/>
        <w:tc>
          <w:tcPr>
            <w:tcW w:w="1280" w:type="dxa"/>
            <w:tcBorders/>
            <w:vAlign w:val="center"/>
          </w:tcPr>
          <w:p>
            <w:pPr>
              <w:pStyle w:val="TableContents"/>
              <w:bidi w:val="0"/>
              <w:spacing w:before="0" w:after="283"/>
              <w:jc w:val="start"/>
              <w:rPr/>
            </w:pPr>
            <w:r>
              <w:rPr>
                <w:rStyle w:val="Emphasis"/>
              </w:rPr>
              <w:t xml:space="preserve">cagH/cagL </w:t>
            </w:r>
          </w:p>
        </w:tc>
        <w:tc>
          <w:tcPr>
            <w:tcW w:w="998" w:type="dxa"/>
            <w:tcBorders/>
            <w:vAlign w:val="center"/>
          </w:tcPr>
          <w:p>
            <w:pPr>
              <w:pStyle w:val="TableContents"/>
              <w:bidi w:val="0"/>
              <w:spacing w:before="0" w:after="283"/>
              <w:jc w:val="start"/>
              <w:rPr/>
            </w:pPr>
            <w:r>
              <w:rPr/>
              <w:t xml:space="preserve">40/41 (97. 7) </w:t>
            </w:r>
          </w:p>
        </w:tc>
        <w:tc>
          <w:tcPr>
            <w:tcW w:w="959" w:type="dxa"/>
            <w:tcBorders/>
            <w:vAlign w:val="center"/>
          </w:tcPr>
          <w:p>
            <w:pPr>
              <w:pStyle w:val="TableContents"/>
              <w:bidi w:val="0"/>
              <w:spacing w:before="0" w:after="283"/>
              <w:jc w:val="start"/>
              <w:rPr/>
            </w:pPr>
            <w:r>
              <w:rPr/>
              <w:t xml:space="preserve">82/102 80. 4) </w:t>
            </w:r>
          </w:p>
        </w:tc>
        <w:tc>
          <w:tcPr>
            <w:tcW w:w="551" w:type="dxa"/>
            <w:tcBorders/>
            <w:vAlign w:val="center"/>
          </w:tcPr>
          <w:p>
            <w:pPr>
              <w:pStyle w:val="TableContents"/>
              <w:bidi w:val="0"/>
              <w:spacing w:before="0" w:after="283"/>
              <w:jc w:val="start"/>
              <w:rPr/>
            </w:pPr>
            <w:r>
              <w:rPr/>
              <w:t xml:space="preserve">0. 029 </w:t>
            </w:r>
          </w:p>
        </w:tc>
        <w:tc>
          <w:tcPr>
            <w:tcW w:w="585" w:type="dxa"/>
            <w:tcBorders/>
            <w:vAlign w:val="center"/>
          </w:tcPr>
          <w:p>
            <w:pPr>
              <w:pStyle w:val="TableContents"/>
              <w:bidi w:val="0"/>
              <w:spacing w:before="0" w:after="283"/>
              <w:jc w:val="start"/>
              <w:rPr/>
            </w:pPr>
            <w:r>
              <w:rPr/>
              <w:t xml:space="preserve">9. 756 </w:t>
            </w:r>
          </w:p>
        </w:tc>
        <w:tc>
          <w:tcPr>
            <w:tcW w:w="948" w:type="dxa"/>
            <w:tcBorders/>
            <w:vAlign w:val="center"/>
          </w:tcPr>
          <w:p>
            <w:pPr>
              <w:pStyle w:val="TableContents"/>
              <w:bidi w:val="0"/>
              <w:spacing w:before="0" w:after="283"/>
              <w:jc w:val="start"/>
              <w:rPr/>
            </w:pPr>
            <w:r>
              <w:rPr/>
              <w:t xml:space="preserve">1. 264-75. 303 </w:t>
            </w:r>
          </w:p>
        </w:tc>
        <w:tc>
          <w:tcPr>
            <w:tcW w:w="531" w:type="dxa"/>
            <w:tcBorders/>
            <w:vAlign w:val="center"/>
          </w:tcPr>
          <w:p>
            <w:pPr>
              <w:pStyle w:val="TableContents"/>
              <w:bidi w:val="0"/>
              <w:spacing w:before="0" w:after="283"/>
              <w:jc w:val="start"/>
              <w:rPr/>
            </w:pPr>
            <w:r>
              <w:rPr/>
              <w:t xml:space="preserve">122 </w:t>
            </w:r>
          </w:p>
        </w:tc>
      </w:tr>
      <w:tr>
        <w:trPr/>
        <w:tc>
          <w:tcPr>
            <w:tcW w:w="1280" w:type="dxa"/>
            <w:tcBorders/>
            <w:vAlign w:val="center"/>
          </w:tcPr>
          <w:p>
            <w:pPr>
              <w:pStyle w:val="TableContents"/>
              <w:bidi w:val="0"/>
              <w:spacing w:before="0" w:after="283"/>
              <w:jc w:val="start"/>
              <w:rPr/>
            </w:pPr>
            <w:r>
              <w:rPr>
                <w:rStyle w:val="Emphasis"/>
              </w:rPr>
              <w:t xml:space="preserve">cagH </w:t>
            </w:r>
            <w:r>
              <w:rPr/>
              <w:t xml:space="preserve">/ </w:t>
            </w:r>
            <w:r>
              <w:rPr>
                <w:rStyle w:val="Emphasis"/>
              </w:rPr>
              <w:t xml:space="preserve">cagG </w:t>
            </w:r>
          </w:p>
        </w:tc>
        <w:tc>
          <w:tcPr>
            <w:tcW w:w="998" w:type="dxa"/>
            <w:tcBorders/>
            <w:vAlign w:val="center"/>
          </w:tcPr>
          <w:p>
            <w:pPr>
              <w:pStyle w:val="TableContents"/>
              <w:bidi w:val="0"/>
              <w:spacing w:before="0" w:after="283"/>
              <w:jc w:val="start"/>
              <w:rPr/>
            </w:pPr>
            <w:r>
              <w:rPr/>
              <w:t xml:space="preserve">32/40 (80) </w:t>
            </w:r>
          </w:p>
        </w:tc>
        <w:tc>
          <w:tcPr>
            <w:tcW w:w="959" w:type="dxa"/>
            <w:tcBorders/>
            <w:vAlign w:val="center"/>
          </w:tcPr>
          <w:p>
            <w:pPr>
              <w:pStyle w:val="TableContents"/>
              <w:bidi w:val="0"/>
              <w:spacing w:before="0" w:after="283"/>
              <w:jc w:val="start"/>
              <w:rPr/>
            </w:pPr>
            <w:r>
              <w:rPr/>
              <w:t xml:space="preserve">70/90 (77. 8) </w:t>
            </w:r>
          </w:p>
        </w:tc>
        <w:tc>
          <w:tcPr>
            <w:tcW w:w="551" w:type="dxa"/>
            <w:tcBorders/>
            <w:vAlign w:val="center"/>
          </w:tcPr>
          <w:p>
            <w:pPr>
              <w:pStyle w:val="TableContents"/>
              <w:bidi w:val="0"/>
              <w:spacing w:before="0" w:after="283"/>
              <w:jc w:val="start"/>
              <w:rPr/>
            </w:pPr>
            <w:r>
              <w:rPr/>
              <w:t xml:space="preserve">0. 776 </w:t>
            </w:r>
          </w:p>
        </w:tc>
        <w:tc>
          <w:tcPr>
            <w:tcW w:w="585" w:type="dxa"/>
            <w:tcBorders/>
            <w:vAlign w:val="center"/>
          </w:tcPr>
          <w:p>
            <w:pPr>
              <w:pStyle w:val="TableContents"/>
              <w:bidi w:val="0"/>
              <w:spacing w:before="0" w:after="283"/>
              <w:jc w:val="start"/>
              <w:rPr/>
            </w:pPr>
            <w:r>
              <w:rPr/>
              <w:t xml:space="preserve">1. 143 </w:t>
            </w:r>
          </w:p>
        </w:tc>
        <w:tc>
          <w:tcPr>
            <w:tcW w:w="948" w:type="dxa"/>
            <w:tcBorders/>
            <w:vAlign w:val="center"/>
          </w:tcPr>
          <w:p>
            <w:pPr>
              <w:pStyle w:val="TableContents"/>
              <w:bidi w:val="0"/>
              <w:spacing w:before="0" w:after="283"/>
              <w:jc w:val="start"/>
              <w:rPr/>
            </w:pPr>
            <w:r>
              <w:rPr/>
              <w:t xml:space="preserve">0. 455-2. 869 </w:t>
            </w:r>
          </w:p>
        </w:tc>
        <w:tc>
          <w:tcPr>
            <w:tcW w:w="531" w:type="dxa"/>
            <w:tcBorders/>
            <w:vAlign w:val="center"/>
          </w:tcPr>
          <w:p>
            <w:pPr>
              <w:pStyle w:val="TableContents"/>
              <w:bidi w:val="0"/>
              <w:spacing w:before="0" w:after="283"/>
              <w:jc w:val="start"/>
              <w:rPr/>
            </w:pPr>
            <w:r>
              <w:rPr/>
              <w:t xml:space="preserve">102 </w:t>
            </w:r>
          </w:p>
        </w:tc>
      </w:tr>
      <w:tr>
        <w:trPr/>
        <w:tc>
          <w:tcPr>
            <w:tcW w:w="1280" w:type="dxa"/>
            <w:tcBorders/>
            <w:vAlign w:val="center"/>
          </w:tcPr>
          <w:p>
            <w:pPr>
              <w:pStyle w:val="TableContents"/>
              <w:bidi w:val="0"/>
              <w:spacing w:before="0" w:after="283"/>
              <w:jc w:val="start"/>
              <w:rPr/>
            </w:pPr>
            <w:r>
              <w:rPr>
                <w:rStyle w:val="Emphasis"/>
              </w:rPr>
              <w:t xml:space="preserve">cagH/orf17 </w:t>
            </w:r>
          </w:p>
        </w:tc>
        <w:tc>
          <w:tcPr>
            <w:tcW w:w="998" w:type="dxa"/>
            <w:tcBorders/>
            <w:vAlign w:val="center"/>
          </w:tcPr>
          <w:p>
            <w:pPr>
              <w:pStyle w:val="TableContents"/>
              <w:bidi w:val="0"/>
              <w:spacing w:before="0" w:after="283"/>
              <w:jc w:val="start"/>
              <w:rPr/>
            </w:pPr>
            <w:r>
              <w:rPr/>
              <w:t xml:space="preserve">34/41 (82. 9) </w:t>
            </w:r>
          </w:p>
        </w:tc>
        <w:tc>
          <w:tcPr>
            <w:tcW w:w="959" w:type="dxa"/>
            <w:tcBorders/>
            <w:vAlign w:val="center"/>
          </w:tcPr>
          <w:p>
            <w:pPr>
              <w:pStyle w:val="TableContents"/>
              <w:bidi w:val="0"/>
              <w:spacing w:before="0" w:after="283"/>
              <w:jc w:val="start"/>
              <w:rPr/>
            </w:pPr>
            <w:r>
              <w:rPr/>
              <w:t xml:space="preserve">73/116 (62. 9) </w:t>
            </w:r>
          </w:p>
        </w:tc>
        <w:tc>
          <w:tcPr>
            <w:tcW w:w="551" w:type="dxa"/>
            <w:tcBorders/>
            <w:vAlign w:val="center"/>
          </w:tcPr>
          <w:p>
            <w:pPr>
              <w:pStyle w:val="TableContents"/>
              <w:bidi w:val="0"/>
              <w:spacing w:before="0" w:after="283"/>
              <w:jc w:val="start"/>
              <w:rPr/>
            </w:pPr>
            <w:r>
              <w:rPr/>
              <w:t xml:space="preserve">0. 022 </w:t>
            </w:r>
          </w:p>
        </w:tc>
        <w:tc>
          <w:tcPr>
            <w:tcW w:w="585" w:type="dxa"/>
            <w:tcBorders/>
            <w:vAlign w:val="center"/>
          </w:tcPr>
          <w:p>
            <w:pPr>
              <w:pStyle w:val="TableContents"/>
              <w:bidi w:val="0"/>
              <w:spacing w:before="0" w:after="283"/>
              <w:jc w:val="start"/>
              <w:rPr/>
            </w:pPr>
            <w:r>
              <w:rPr/>
              <w:t xml:space="preserve">2. 861 </w:t>
            </w:r>
          </w:p>
        </w:tc>
        <w:tc>
          <w:tcPr>
            <w:tcW w:w="948" w:type="dxa"/>
            <w:tcBorders/>
            <w:vAlign w:val="center"/>
          </w:tcPr>
          <w:p>
            <w:pPr>
              <w:pStyle w:val="TableContents"/>
              <w:bidi w:val="0"/>
              <w:spacing w:before="0" w:after="283"/>
              <w:jc w:val="start"/>
              <w:rPr/>
            </w:pPr>
            <w:r>
              <w:rPr/>
              <w:t xml:space="preserve">1. 167-7. 013 </w:t>
            </w:r>
          </w:p>
        </w:tc>
        <w:tc>
          <w:tcPr>
            <w:tcW w:w="531" w:type="dxa"/>
            <w:tcBorders/>
            <w:vAlign w:val="center"/>
          </w:tcPr>
          <w:p>
            <w:pPr>
              <w:pStyle w:val="TableContents"/>
              <w:bidi w:val="0"/>
              <w:spacing w:before="0" w:after="283"/>
              <w:jc w:val="start"/>
              <w:rPr/>
            </w:pPr>
            <w:r>
              <w:rPr/>
              <w:t xml:space="preserve">107 </w:t>
            </w:r>
          </w:p>
        </w:tc>
      </w:tr>
      <w:tr>
        <w:trPr/>
        <w:tc>
          <w:tcPr>
            <w:tcW w:w="1280" w:type="dxa"/>
            <w:tcBorders/>
            <w:vAlign w:val="center"/>
          </w:tcPr>
          <w:p>
            <w:pPr>
              <w:pStyle w:val="TableContents"/>
              <w:bidi w:val="0"/>
              <w:spacing w:before="0" w:after="283"/>
              <w:jc w:val="start"/>
              <w:rPr/>
            </w:pPr>
            <w:r>
              <w:rPr>
                <w:rStyle w:val="Emphasis"/>
              </w:rPr>
              <w:t xml:space="preserve">cagL/cagG </w:t>
            </w:r>
          </w:p>
        </w:tc>
        <w:tc>
          <w:tcPr>
            <w:tcW w:w="998" w:type="dxa"/>
            <w:tcBorders/>
            <w:vAlign w:val="center"/>
          </w:tcPr>
          <w:p>
            <w:pPr>
              <w:pStyle w:val="TableContents"/>
              <w:bidi w:val="0"/>
              <w:spacing w:before="0" w:after="283"/>
              <w:jc w:val="start"/>
              <w:rPr/>
            </w:pPr>
            <w:r>
              <w:rPr/>
              <w:t xml:space="preserve">36/36 (100) </w:t>
            </w:r>
          </w:p>
        </w:tc>
        <w:tc>
          <w:tcPr>
            <w:tcW w:w="959" w:type="dxa"/>
            <w:tcBorders/>
            <w:vAlign w:val="center"/>
          </w:tcPr>
          <w:p>
            <w:pPr>
              <w:pStyle w:val="TableContents"/>
              <w:bidi w:val="0"/>
              <w:spacing w:before="0" w:after="283"/>
              <w:jc w:val="start"/>
              <w:rPr/>
            </w:pPr>
            <w:r>
              <w:rPr/>
              <w:t xml:space="preserve">96/108 (88. 9) </w:t>
            </w:r>
          </w:p>
        </w:tc>
        <w:tc>
          <w:tcPr>
            <w:tcW w:w="551" w:type="dxa"/>
            <w:tcBorders/>
            <w:vAlign w:val="center"/>
          </w:tcPr>
          <w:p>
            <w:pPr>
              <w:pStyle w:val="TableContents"/>
              <w:bidi w:val="0"/>
              <w:spacing w:before="0" w:after="283"/>
              <w:jc w:val="start"/>
              <w:rPr/>
            </w:pPr>
            <w:r>
              <w:rPr/>
              <w:t xml:space="preserve">— </w:t>
            </w:r>
          </w:p>
        </w:tc>
        <w:tc>
          <w:tcPr>
            <w:tcW w:w="585" w:type="dxa"/>
            <w:tcBorders/>
            <w:vAlign w:val="center"/>
          </w:tcPr>
          <w:p>
            <w:pPr>
              <w:pStyle w:val="TableContents"/>
              <w:bidi w:val="0"/>
              <w:spacing w:before="0" w:after="283"/>
              <w:jc w:val="start"/>
              <w:rPr/>
            </w:pPr>
            <w:r>
              <w:rPr/>
              <w:t xml:space="preserve">— </w:t>
            </w:r>
          </w:p>
        </w:tc>
        <w:tc>
          <w:tcPr>
            <w:tcW w:w="948" w:type="dxa"/>
            <w:tcBorders/>
            <w:vAlign w:val="center"/>
          </w:tcPr>
          <w:p>
            <w:pPr>
              <w:pStyle w:val="TableContents"/>
              <w:bidi w:val="0"/>
              <w:spacing w:before="0" w:after="283"/>
              <w:jc w:val="start"/>
              <w:rPr/>
            </w:pPr>
            <w:r>
              <w:rPr/>
              <w:t xml:space="preserve">— </w:t>
            </w:r>
          </w:p>
        </w:tc>
        <w:tc>
          <w:tcPr>
            <w:tcW w:w="531" w:type="dxa"/>
            <w:tcBorders/>
            <w:vAlign w:val="center"/>
          </w:tcPr>
          <w:p>
            <w:pPr>
              <w:pStyle w:val="TableContents"/>
              <w:bidi w:val="0"/>
              <w:spacing w:before="0" w:after="283"/>
              <w:jc w:val="start"/>
              <w:rPr/>
            </w:pPr>
            <w:r>
              <w:rPr/>
              <w:t xml:space="preserve">132 </w:t>
            </w:r>
          </w:p>
        </w:tc>
      </w:tr>
      <w:tr>
        <w:trPr/>
        <w:tc>
          <w:tcPr>
            <w:tcW w:w="1280" w:type="dxa"/>
            <w:tcBorders/>
            <w:vAlign w:val="center"/>
          </w:tcPr>
          <w:p>
            <w:pPr>
              <w:pStyle w:val="TableContents"/>
              <w:bidi w:val="0"/>
              <w:spacing w:before="0" w:after="283"/>
              <w:jc w:val="start"/>
              <w:rPr/>
            </w:pPr>
            <w:r>
              <w:rPr>
                <w:rStyle w:val="Emphasis"/>
              </w:rPr>
              <w:t xml:space="preserve">cagL/orf17 </w:t>
            </w:r>
          </w:p>
        </w:tc>
        <w:tc>
          <w:tcPr>
            <w:tcW w:w="998" w:type="dxa"/>
            <w:tcBorders/>
            <w:vAlign w:val="center"/>
          </w:tcPr>
          <w:p>
            <w:pPr>
              <w:pStyle w:val="TableContents"/>
              <w:bidi w:val="0"/>
              <w:spacing w:before="0" w:after="283"/>
              <w:jc w:val="start"/>
              <w:rPr/>
            </w:pPr>
            <w:r>
              <w:rPr/>
              <w:t xml:space="preserve">41/43 (95. 3) </w:t>
            </w:r>
          </w:p>
        </w:tc>
        <w:tc>
          <w:tcPr>
            <w:tcW w:w="959" w:type="dxa"/>
            <w:tcBorders/>
            <w:vAlign w:val="center"/>
          </w:tcPr>
          <w:p>
            <w:pPr>
              <w:pStyle w:val="TableContents"/>
              <w:bidi w:val="0"/>
              <w:spacing w:before="0" w:after="283"/>
              <w:jc w:val="start"/>
              <w:rPr/>
            </w:pPr>
            <w:r>
              <w:rPr/>
              <w:t xml:space="preserve">81/97 (83. 5) </w:t>
            </w:r>
          </w:p>
        </w:tc>
        <w:tc>
          <w:tcPr>
            <w:tcW w:w="551" w:type="dxa"/>
            <w:tcBorders/>
            <w:vAlign w:val="center"/>
          </w:tcPr>
          <w:p>
            <w:pPr>
              <w:pStyle w:val="TableContents"/>
              <w:bidi w:val="0"/>
              <w:spacing w:before="0" w:after="283"/>
              <w:jc w:val="start"/>
              <w:rPr/>
            </w:pPr>
            <w:r>
              <w:rPr/>
              <w:t xml:space="preserve">0. 071 </w:t>
            </w:r>
          </w:p>
        </w:tc>
        <w:tc>
          <w:tcPr>
            <w:tcW w:w="585" w:type="dxa"/>
            <w:tcBorders/>
            <w:vAlign w:val="center"/>
          </w:tcPr>
          <w:p>
            <w:pPr>
              <w:pStyle w:val="TableContents"/>
              <w:bidi w:val="0"/>
              <w:spacing w:before="0" w:after="283"/>
              <w:jc w:val="start"/>
              <w:rPr/>
            </w:pPr>
            <w:r>
              <w:rPr/>
              <w:t xml:space="preserve">4. 049 </w:t>
            </w:r>
          </w:p>
        </w:tc>
        <w:tc>
          <w:tcPr>
            <w:tcW w:w="948" w:type="dxa"/>
            <w:tcBorders/>
            <w:vAlign w:val="center"/>
          </w:tcPr>
          <w:p>
            <w:pPr>
              <w:pStyle w:val="TableContents"/>
              <w:bidi w:val="0"/>
              <w:spacing w:before="0" w:after="283"/>
              <w:jc w:val="start"/>
              <w:rPr/>
            </w:pPr>
            <w:r>
              <w:rPr/>
              <w:t xml:space="preserve">0. 888-18. 463 </w:t>
            </w:r>
          </w:p>
        </w:tc>
        <w:tc>
          <w:tcPr>
            <w:tcW w:w="531" w:type="dxa"/>
            <w:tcBorders/>
            <w:vAlign w:val="center"/>
          </w:tcPr>
          <w:p>
            <w:pPr>
              <w:pStyle w:val="TableContents"/>
              <w:bidi w:val="0"/>
              <w:spacing w:before="0" w:after="283"/>
              <w:jc w:val="start"/>
              <w:rPr/>
            </w:pPr>
            <w:r>
              <w:rPr/>
              <w:t xml:space="preserve">122 </w:t>
            </w:r>
          </w:p>
        </w:tc>
      </w:tr>
      <w:tr>
        <w:trPr/>
        <w:tc>
          <w:tcPr>
            <w:tcW w:w="1280" w:type="dxa"/>
            <w:tcBorders/>
            <w:vAlign w:val="center"/>
          </w:tcPr>
          <w:p>
            <w:pPr>
              <w:pStyle w:val="TableContents"/>
              <w:bidi w:val="0"/>
              <w:spacing w:before="0" w:after="283"/>
              <w:jc w:val="start"/>
              <w:rPr/>
            </w:pPr>
            <w:r>
              <w:rPr>
                <w:rStyle w:val="Emphasis"/>
              </w:rPr>
              <w:t xml:space="preserve">cagG/orf17 </w:t>
            </w:r>
          </w:p>
        </w:tc>
        <w:tc>
          <w:tcPr>
            <w:tcW w:w="998" w:type="dxa"/>
            <w:tcBorders/>
            <w:vAlign w:val="center"/>
          </w:tcPr>
          <w:p>
            <w:pPr>
              <w:pStyle w:val="TableContents"/>
              <w:bidi w:val="0"/>
              <w:spacing w:before="0" w:after="283"/>
              <w:jc w:val="start"/>
              <w:rPr/>
            </w:pPr>
            <w:r>
              <w:rPr/>
              <w:t xml:space="preserve">31/35 (88. 6) </w:t>
            </w:r>
          </w:p>
        </w:tc>
        <w:tc>
          <w:tcPr>
            <w:tcW w:w="959" w:type="dxa"/>
            <w:tcBorders/>
            <w:vAlign w:val="center"/>
          </w:tcPr>
          <w:p>
            <w:pPr>
              <w:pStyle w:val="TableContents"/>
              <w:bidi w:val="0"/>
              <w:spacing w:before="0" w:after="283"/>
              <w:jc w:val="start"/>
              <w:rPr/>
            </w:pPr>
            <w:r>
              <w:rPr/>
              <w:t xml:space="preserve">70/89 (78. 7) </w:t>
            </w:r>
          </w:p>
        </w:tc>
        <w:tc>
          <w:tcPr>
            <w:tcW w:w="551" w:type="dxa"/>
            <w:tcBorders/>
            <w:vAlign w:val="center"/>
          </w:tcPr>
          <w:p>
            <w:pPr>
              <w:pStyle w:val="TableContents"/>
              <w:bidi w:val="0"/>
              <w:spacing w:before="0" w:after="283"/>
              <w:jc w:val="start"/>
              <w:rPr/>
            </w:pPr>
            <w:r>
              <w:rPr/>
              <w:t xml:space="preserve">0. 208 </w:t>
            </w:r>
          </w:p>
        </w:tc>
        <w:tc>
          <w:tcPr>
            <w:tcW w:w="585" w:type="dxa"/>
            <w:tcBorders/>
            <w:vAlign w:val="center"/>
          </w:tcPr>
          <w:p>
            <w:pPr>
              <w:pStyle w:val="TableContents"/>
              <w:bidi w:val="0"/>
              <w:spacing w:before="0" w:after="283"/>
              <w:jc w:val="start"/>
              <w:rPr/>
            </w:pPr>
            <w:r>
              <w:rPr/>
              <w:t xml:space="preserve">2. 104 </w:t>
            </w:r>
          </w:p>
        </w:tc>
        <w:tc>
          <w:tcPr>
            <w:tcW w:w="948" w:type="dxa"/>
            <w:tcBorders/>
            <w:vAlign w:val="center"/>
          </w:tcPr>
          <w:p>
            <w:pPr>
              <w:pStyle w:val="TableContents"/>
              <w:bidi w:val="0"/>
              <w:spacing w:before="0" w:after="283"/>
              <w:jc w:val="start"/>
              <w:rPr/>
            </w:pPr>
            <w:r>
              <w:rPr/>
              <w:t xml:space="preserve">0. 661-6. 698 </w:t>
            </w:r>
          </w:p>
        </w:tc>
        <w:tc>
          <w:tcPr>
            <w:tcW w:w="531" w:type="dxa"/>
            <w:tcBorders/>
            <w:vAlign w:val="center"/>
          </w:tcPr>
          <w:p>
            <w:pPr>
              <w:pStyle w:val="TableContents"/>
              <w:bidi w:val="0"/>
              <w:spacing w:before="0" w:after="283"/>
              <w:jc w:val="start"/>
              <w:rPr/>
            </w:pPr>
            <w:r>
              <w:rPr/>
              <w:t xml:space="preserve">101 </w:t>
            </w:r>
          </w:p>
        </w:tc>
      </w:tr>
      <w:tr>
        <w:trPr/>
        <w:tc>
          <w:tcPr>
            <w:tcW w:w="1280" w:type="dxa"/>
            <w:tcBorders/>
            <w:vAlign w:val="center"/>
          </w:tcPr>
          <w:p>
            <w:pPr>
              <w:pStyle w:val="TableContents"/>
              <w:bidi w:val="0"/>
              <w:spacing w:before="0" w:after="283"/>
              <w:jc w:val="start"/>
              <w:rPr/>
            </w:pPr>
            <w:r>
              <w:rPr>
                <w:rStyle w:val="Emphasis"/>
              </w:rPr>
              <w:t xml:space="preserve">cagH/cagG/cagL </w:t>
            </w:r>
          </w:p>
        </w:tc>
        <w:tc>
          <w:tcPr>
            <w:tcW w:w="998" w:type="dxa"/>
            <w:tcBorders/>
            <w:vAlign w:val="center"/>
          </w:tcPr>
          <w:p>
            <w:pPr>
              <w:pStyle w:val="TableContents"/>
              <w:bidi w:val="0"/>
              <w:spacing w:before="0" w:after="283"/>
              <w:jc w:val="start"/>
              <w:rPr/>
            </w:pPr>
            <w:r>
              <w:rPr/>
              <w:t xml:space="preserve">31/31 (100) </w:t>
            </w:r>
          </w:p>
        </w:tc>
        <w:tc>
          <w:tcPr>
            <w:tcW w:w="959" w:type="dxa"/>
            <w:tcBorders/>
            <w:vAlign w:val="center"/>
          </w:tcPr>
          <w:p>
            <w:pPr>
              <w:pStyle w:val="TableContents"/>
              <w:bidi w:val="0"/>
              <w:spacing w:before="0" w:after="283"/>
              <w:jc w:val="start"/>
              <w:rPr/>
            </w:pPr>
            <w:r>
              <w:rPr/>
              <w:t xml:space="preserve">67/77 (87) </w:t>
            </w:r>
          </w:p>
        </w:tc>
        <w:tc>
          <w:tcPr>
            <w:tcW w:w="551" w:type="dxa"/>
            <w:tcBorders/>
            <w:vAlign w:val="center"/>
          </w:tcPr>
          <w:p>
            <w:pPr>
              <w:pStyle w:val="TableContents"/>
              <w:bidi w:val="0"/>
              <w:spacing w:before="0" w:after="283"/>
              <w:jc w:val="start"/>
              <w:rPr/>
            </w:pPr>
            <w:r>
              <w:rPr/>
              <w:t xml:space="preserve">— </w:t>
            </w:r>
          </w:p>
        </w:tc>
        <w:tc>
          <w:tcPr>
            <w:tcW w:w="585" w:type="dxa"/>
            <w:tcBorders/>
            <w:vAlign w:val="center"/>
          </w:tcPr>
          <w:p>
            <w:pPr>
              <w:pStyle w:val="TableContents"/>
              <w:bidi w:val="0"/>
              <w:spacing w:before="0" w:after="283"/>
              <w:jc w:val="start"/>
              <w:rPr/>
            </w:pPr>
            <w:r>
              <w:rPr/>
              <w:t xml:space="preserve">— </w:t>
            </w:r>
          </w:p>
        </w:tc>
        <w:tc>
          <w:tcPr>
            <w:tcW w:w="948" w:type="dxa"/>
            <w:tcBorders/>
            <w:vAlign w:val="center"/>
          </w:tcPr>
          <w:p>
            <w:pPr>
              <w:pStyle w:val="TableContents"/>
              <w:bidi w:val="0"/>
              <w:spacing w:before="0" w:after="283"/>
              <w:jc w:val="start"/>
              <w:rPr/>
            </w:pPr>
            <w:r>
              <w:rPr/>
              <w:t xml:space="preserve">— </w:t>
            </w:r>
          </w:p>
        </w:tc>
        <w:tc>
          <w:tcPr>
            <w:tcW w:w="531" w:type="dxa"/>
            <w:tcBorders/>
            <w:vAlign w:val="center"/>
          </w:tcPr>
          <w:p>
            <w:pPr>
              <w:pStyle w:val="TableContents"/>
              <w:bidi w:val="0"/>
              <w:spacing w:before="0" w:after="283"/>
              <w:jc w:val="start"/>
              <w:rPr/>
            </w:pPr>
            <w:r>
              <w:rPr/>
              <w:t xml:space="preserve">98 </w:t>
            </w:r>
          </w:p>
        </w:tc>
      </w:tr>
      <w:tr>
        <w:trPr/>
        <w:tc>
          <w:tcPr>
            <w:tcW w:w="1280" w:type="dxa"/>
            <w:tcBorders/>
            <w:vAlign w:val="center"/>
          </w:tcPr>
          <w:p>
            <w:pPr>
              <w:pStyle w:val="TableContents"/>
              <w:bidi w:val="0"/>
              <w:spacing w:before="0" w:after="283"/>
              <w:jc w:val="start"/>
              <w:rPr/>
            </w:pPr>
            <w:r>
              <w:rPr>
                <w:rStyle w:val="Emphasis"/>
              </w:rPr>
              <w:t xml:space="preserve">cagH/cagG/orf17 </w:t>
            </w:r>
          </w:p>
        </w:tc>
        <w:tc>
          <w:tcPr>
            <w:tcW w:w="998" w:type="dxa"/>
            <w:tcBorders/>
            <w:vAlign w:val="center"/>
          </w:tcPr>
          <w:p>
            <w:pPr>
              <w:pStyle w:val="TableContents"/>
              <w:bidi w:val="0"/>
              <w:spacing w:before="0" w:after="283"/>
              <w:jc w:val="start"/>
              <w:rPr/>
            </w:pPr>
            <w:r>
              <w:rPr/>
              <w:t xml:space="preserve">28/32 (87. 5) </w:t>
            </w:r>
          </w:p>
        </w:tc>
        <w:tc>
          <w:tcPr>
            <w:tcW w:w="959" w:type="dxa"/>
            <w:tcBorders/>
            <w:vAlign w:val="center"/>
          </w:tcPr>
          <w:p>
            <w:pPr>
              <w:pStyle w:val="TableContents"/>
              <w:bidi w:val="0"/>
              <w:spacing w:before="0" w:after="283"/>
              <w:jc w:val="start"/>
              <w:rPr/>
            </w:pPr>
            <w:r>
              <w:rPr/>
              <w:t xml:space="preserve">61/75 (81. 3) </w:t>
            </w:r>
          </w:p>
        </w:tc>
        <w:tc>
          <w:tcPr>
            <w:tcW w:w="551" w:type="dxa"/>
            <w:tcBorders/>
            <w:vAlign w:val="center"/>
          </w:tcPr>
          <w:p>
            <w:pPr>
              <w:pStyle w:val="TableContents"/>
              <w:bidi w:val="0"/>
              <w:spacing w:before="0" w:after="283"/>
              <w:jc w:val="start"/>
              <w:rPr/>
            </w:pPr>
            <w:r>
              <w:rPr/>
              <w:t xml:space="preserve">0. 438 </w:t>
            </w:r>
          </w:p>
        </w:tc>
        <w:tc>
          <w:tcPr>
            <w:tcW w:w="585" w:type="dxa"/>
            <w:tcBorders/>
            <w:vAlign w:val="center"/>
          </w:tcPr>
          <w:p>
            <w:pPr>
              <w:pStyle w:val="TableContents"/>
              <w:bidi w:val="0"/>
              <w:spacing w:before="0" w:after="283"/>
              <w:jc w:val="start"/>
              <w:rPr/>
            </w:pPr>
            <w:r>
              <w:rPr/>
              <w:t xml:space="preserve">1. 607 </w:t>
            </w:r>
          </w:p>
        </w:tc>
        <w:tc>
          <w:tcPr>
            <w:tcW w:w="948" w:type="dxa"/>
            <w:tcBorders/>
            <w:vAlign w:val="center"/>
          </w:tcPr>
          <w:p>
            <w:pPr>
              <w:pStyle w:val="TableContents"/>
              <w:bidi w:val="0"/>
              <w:spacing w:before="0" w:after="283"/>
              <w:jc w:val="start"/>
              <w:rPr/>
            </w:pPr>
            <w:r>
              <w:rPr/>
              <w:t xml:space="preserve">0. 485-5. 323 </w:t>
            </w:r>
          </w:p>
        </w:tc>
        <w:tc>
          <w:tcPr>
            <w:tcW w:w="531" w:type="dxa"/>
            <w:tcBorders/>
            <w:vAlign w:val="center"/>
          </w:tcPr>
          <w:p>
            <w:pPr>
              <w:pStyle w:val="TableContents"/>
              <w:bidi w:val="0"/>
              <w:spacing w:before="0" w:after="283"/>
              <w:jc w:val="start"/>
              <w:rPr/>
            </w:pPr>
            <w:r>
              <w:rPr/>
              <w:t xml:space="preserve">89 </w:t>
            </w:r>
          </w:p>
        </w:tc>
      </w:tr>
      <w:tr>
        <w:trPr/>
        <w:tc>
          <w:tcPr>
            <w:tcW w:w="1280" w:type="dxa"/>
            <w:tcBorders/>
            <w:vAlign w:val="center"/>
          </w:tcPr>
          <w:p>
            <w:pPr>
              <w:pStyle w:val="TableContents"/>
              <w:bidi w:val="0"/>
              <w:spacing w:before="0" w:after="283"/>
              <w:jc w:val="start"/>
              <w:rPr/>
            </w:pPr>
            <w:r>
              <w:rPr>
                <w:rStyle w:val="Emphasis"/>
              </w:rPr>
              <w:t xml:space="preserve">cagH/cagL/orf17 </w:t>
            </w:r>
          </w:p>
        </w:tc>
        <w:tc>
          <w:tcPr>
            <w:tcW w:w="998" w:type="dxa"/>
            <w:tcBorders/>
            <w:vAlign w:val="center"/>
          </w:tcPr>
          <w:p>
            <w:pPr>
              <w:pStyle w:val="TableContents"/>
              <w:bidi w:val="0"/>
              <w:spacing w:before="0" w:after="283"/>
              <w:jc w:val="start"/>
              <w:rPr/>
            </w:pPr>
            <w:r>
              <w:rPr/>
              <w:t xml:space="preserve">34/35 (97. 1) </w:t>
            </w:r>
          </w:p>
        </w:tc>
        <w:tc>
          <w:tcPr>
            <w:tcW w:w="959" w:type="dxa"/>
            <w:tcBorders/>
            <w:vAlign w:val="center"/>
          </w:tcPr>
          <w:p>
            <w:pPr>
              <w:pStyle w:val="TableContents"/>
              <w:bidi w:val="0"/>
              <w:spacing w:before="0" w:after="283"/>
              <w:jc w:val="start"/>
              <w:rPr/>
            </w:pPr>
            <w:r>
              <w:rPr/>
              <w:t xml:space="preserve">70/84 (83. 3) </w:t>
            </w:r>
          </w:p>
        </w:tc>
        <w:tc>
          <w:tcPr>
            <w:tcW w:w="551" w:type="dxa"/>
            <w:tcBorders/>
            <w:vAlign w:val="center"/>
          </w:tcPr>
          <w:p>
            <w:pPr>
              <w:pStyle w:val="TableContents"/>
              <w:bidi w:val="0"/>
              <w:spacing w:before="0" w:after="283"/>
              <w:jc w:val="start"/>
              <w:rPr/>
            </w:pPr>
            <w:r>
              <w:rPr/>
              <w:t xml:space="preserve">0. 069 </w:t>
            </w:r>
          </w:p>
        </w:tc>
        <w:tc>
          <w:tcPr>
            <w:tcW w:w="585" w:type="dxa"/>
            <w:tcBorders/>
            <w:vAlign w:val="center"/>
          </w:tcPr>
          <w:p>
            <w:pPr>
              <w:pStyle w:val="TableContents"/>
              <w:bidi w:val="0"/>
              <w:spacing w:before="0" w:after="283"/>
              <w:jc w:val="start"/>
              <w:rPr/>
            </w:pPr>
            <w:r>
              <w:rPr/>
              <w:t xml:space="preserve">6. 800 </w:t>
            </w:r>
          </w:p>
        </w:tc>
        <w:tc>
          <w:tcPr>
            <w:tcW w:w="948" w:type="dxa"/>
            <w:tcBorders/>
            <w:vAlign w:val="center"/>
          </w:tcPr>
          <w:p>
            <w:pPr>
              <w:pStyle w:val="TableContents"/>
              <w:bidi w:val="0"/>
              <w:spacing w:before="0" w:after="283"/>
              <w:jc w:val="start"/>
              <w:rPr/>
            </w:pPr>
            <w:r>
              <w:rPr/>
              <w:t xml:space="preserve">0. 858-53. 873 </w:t>
            </w:r>
          </w:p>
        </w:tc>
        <w:tc>
          <w:tcPr>
            <w:tcW w:w="531" w:type="dxa"/>
            <w:tcBorders/>
            <w:vAlign w:val="center"/>
          </w:tcPr>
          <w:p>
            <w:pPr>
              <w:pStyle w:val="TableContents"/>
              <w:bidi w:val="0"/>
              <w:spacing w:before="0" w:after="283"/>
              <w:jc w:val="start"/>
              <w:rPr/>
            </w:pPr>
            <w:r>
              <w:rPr/>
              <w:t xml:space="preserve">104 </w:t>
            </w:r>
          </w:p>
        </w:tc>
      </w:tr>
      <w:tr>
        <w:trPr/>
        <w:tc>
          <w:tcPr>
            <w:tcW w:w="1280" w:type="dxa"/>
            <w:tcBorders/>
            <w:vAlign w:val="center"/>
          </w:tcPr>
          <w:p>
            <w:pPr>
              <w:pStyle w:val="TableContents"/>
              <w:bidi w:val="0"/>
              <w:spacing w:before="0" w:after="283"/>
              <w:jc w:val="start"/>
              <w:rPr/>
            </w:pPr>
            <w:r>
              <w:rPr>
                <w:rStyle w:val="Emphasis"/>
              </w:rPr>
              <w:t xml:space="preserve">cagL/cagG/orf17 </w:t>
            </w:r>
          </w:p>
        </w:tc>
        <w:tc>
          <w:tcPr>
            <w:tcW w:w="998" w:type="dxa"/>
            <w:tcBorders/>
            <w:vAlign w:val="center"/>
          </w:tcPr>
          <w:p>
            <w:pPr>
              <w:pStyle w:val="TableContents"/>
              <w:bidi w:val="0"/>
              <w:spacing w:before="0" w:after="283"/>
              <w:jc w:val="start"/>
              <w:rPr/>
            </w:pPr>
            <w:r>
              <w:rPr/>
              <w:t xml:space="preserve">31/31 (100) </w:t>
            </w:r>
          </w:p>
        </w:tc>
        <w:tc>
          <w:tcPr>
            <w:tcW w:w="959" w:type="dxa"/>
            <w:tcBorders/>
            <w:vAlign w:val="center"/>
          </w:tcPr>
          <w:p>
            <w:pPr>
              <w:pStyle w:val="TableContents"/>
              <w:bidi w:val="0"/>
              <w:spacing w:before="0" w:after="283"/>
              <w:jc w:val="start"/>
              <w:rPr/>
            </w:pPr>
            <w:r>
              <w:rPr/>
              <w:t xml:space="preserve">67/75 (89. 3) </w:t>
            </w:r>
          </w:p>
        </w:tc>
        <w:tc>
          <w:tcPr>
            <w:tcW w:w="551" w:type="dxa"/>
            <w:tcBorders/>
            <w:vAlign w:val="center"/>
          </w:tcPr>
          <w:p>
            <w:pPr>
              <w:pStyle w:val="TableContents"/>
              <w:bidi w:val="0"/>
              <w:spacing w:before="0" w:after="283"/>
              <w:jc w:val="start"/>
              <w:rPr/>
            </w:pPr>
            <w:r>
              <w:rPr/>
              <w:t xml:space="preserve">— </w:t>
            </w:r>
          </w:p>
        </w:tc>
        <w:tc>
          <w:tcPr>
            <w:tcW w:w="585" w:type="dxa"/>
            <w:tcBorders/>
            <w:vAlign w:val="center"/>
          </w:tcPr>
          <w:p>
            <w:pPr>
              <w:pStyle w:val="TableContents"/>
              <w:bidi w:val="0"/>
              <w:spacing w:before="0" w:after="283"/>
              <w:jc w:val="start"/>
              <w:rPr/>
            </w:pPr>
            <w:r>
              <w:rPr/>
              <w:t xml:space="preserve">— </w:t>
            </w:r>
          </w:p>
        </w:tc>
        <w:tc>
          <w:tcPr>
            <w:tcW w:w="948" w:type="dxa"/>
            <w:tcBorders/>
            <w:vAlign w:val="center"/>
          </w:tcPr>
          <w:p>
            <w:pPr>
              <w:pStyle w:val="TableContents"/>
              <w:bidi w:val="0"/>
              <w:spacing w:before="0" w:after="283"/>
              <w:jc w:val="start"/>
              <w:rPr/>
            </w:pPr>
            <w:r>
              <w:rPr/>
              <w:t xml:space="preserve">— </w:t>
            </w:r>
          </w:p>
        </w:tc>
        <w:tc>
          <w:tcPr>
            <w:tcW w:w="531" w:type="dxa"/>
            <w:tcBorders/>
            <w:vAlign w:val="center"/>
          </w:tcPr>
          <w:p>
            <w:pPr>
              <w:pStyle w:val="TableContents"/>
              <w:bidi w:val="0"/>
              <w:spacing w:before="0" w:after="283"/>
              <w:jc w:val="start"/>
              <w:rPr/>
            </w:pPr>
            <w:r>
              <w:rPr/>
              <w:t xml:space="preserve">98 </w:t>
            </w:r>
          </w:p>
        </w:tc>
      </w:tr>
      <w:tr>
        <w:trPr/>
        <w:tc>
          <w:tcPr>
            <w:tcW w:w="1280" w:type="dxa"/>
            <w:tcBorders/>
            <w:vAlign w:val="center"/>
          </w:tcPr>
          <w:p>
            <w:pPr>
              <w:pStyle w:val="TableContents"/>
              <w:bidi w:val="0"/>
              <w:spacing w:before="0" w:after="283"/>
              <w:jc w:val="start"/>
              <w:rPr>
                <w:sz w:val="4"/>
                <w:szCs w:val="4"/>
              </w:rPr>
            </w:pPr>
            <w:r>
              <w:rPr>
                <w:sz w:val="4"/>
                <w:szCs w:val="4"/>
              </w:rPr>
            </w:r>
          </w:p>
        </w:tc>
        <w:tc>
          <w:tcPr>
            <w:tcW w:w="998" w:type="dxa"/>
            <w:tcBorders/>
            <w:vAlign w:val="center"/>
          </w:tcPr>
          <w:p>
            <w:pPr>
              <w:pStyle w:val="TableContents"/>
              <w:bidi w:val="0"/>
              <w:spacing w:before="0" w:after="283"/>
              <w:jc w:val="start"/>
              <w:rPr>
                <w:sz w:val="4"/>
                <w:szCs w:val="4"/>
              </w:rPr>
            </w:pPr>
            <w:r>
              <w:rPr>
                <w:sz w:val="4"/>
                <w:szCs w:val="4"/>
              </w:rPr>
            </w:r>
          </w:p>
        </w:tc>
        <w:tc>
          <w:tcPr>
            <w:tcW w:w="959" w:type="dxa"/>
            <w:tcBorders/>
            <w:vAlign w:val="center"/>
          </w:tcPr>
          <w:p>
            <w:pPr>
              <w:pStyle w:val="TableContents"/>
              <w:bidi w:val="0"/>
              <w:spacing w:before="0" w:after="283"/>
              <w:jc w:val="start"/>
              <w:rPr>
                <w:sz w:val="4"/>
                <w:szCs w:val="4"/>
              </w:rPr>
            </w:pPr>
            <w:r>
              <w:rPr>
                <w:sz w:val="4"/>
                <w:szCs w:val="4"/>
              </w:rPr>
            </w:r>
          </w:p>
        </w:tc>
        <w:tc>
          <w:tcPr>
            <w:tcW w:w="551" w:type="dxa"/>
            <w:tcBorders/>
            <w:vAlign w:val="center"/>
          </w:tcPr>
          <w:p>
            <w:pPr>
              <w:pStyle w:val="TableContents"/>
              <w:bidi w:val="0"/>
              <w:spacing w:before="0" w:after="283"/>
              <w:jc w:val="start"/>
              <w:rPr>
                <w:sz w:val="4"/>
                <w:szCs w:val="4"/>
              </w:rPr>
            </w:pPr>
            <w:r>
              <w:rPr>
                <w:sz w:val="4"/>
                <w:szCs w:val="4"/>
              </w:rPr>
            </w:r>
          </w:p>
        </w:tc>
        <w:tc>
          <w:tcPr>
            <w:tcW w:w="585" w:type="dxa"/>
            <w:tcBorders/>
            <w:vAlign w:val="center"/>
          </w:tcPr>
          <w:p>
            <w:pPr>
              <w:pStyle w:val="TableContents"/>
              <w:bidi w:val="0"/>
              <w:spacing w:before="0" w:after="283"/>
              <w:jc w:val="start"/>
              <w:rPr>
                <w:sz w:val="4"/>
                <w:szCs w:val="4"/>
              </w:rPr>
            </w:pPr>
            <w:r>
              <w:rPr>
                <w:sz w:val="4"/>
                <w:szCs w:val="4"/>
              </w:rPr>
            </w:r>
          </w:p>
        </w:tc>
        <w:tc>
          <w:tcPr>
            <w:tcW w:w="948" w:type="dxa"/>
            <w:tcBorders/>
            <w:vAlign w:val="center"/>
          </w:tcPr>
          <w:p>
            <w:pPr>
              <w:pStyle w:val="TableContents"/>
              <w:bidi w:val="0"/>
              <w:spacing w:before="0" w:after="283"/>
              <w:jc w:val="start"/>
              <w:rPr>
                <w:sz w:val="4"/>
                <w:szCs w:val="4"/>
              </w:rPr>
            </w:pPr>
            <w:r>
              <w:rPr>
                <w:sz w:val="4"/>
                <w:szCs w:val="4"/>
              </w:rPr>
            </w:r>
          </w:p>
        </w:tc>
        <w:tc>
          <w:tcPr>
            <w:tcW w:w="531" w:type="dxa"/>
            <w:tcBorders/>
            <w:vAlign w:val="center"/>
          </w:tcPr>
          <w:p>
            <w:pPr>
              <w:pStyle w:val="TableContents"/>
              <w:bidi w:val="0"/>
              <w:spacing w:before="0" w:after="283"/>
              <w:jc w:val="start"/>
              <w:rPr>
                <w:sz w:val="4"/>
                <w:szCs w:val="4"/>
              </w:rPr>
            </w:pPr>
            <w:r>
              <w:rPr>
                <w:sz w:val="4"/>
                <w:szCs w:val="4"/>
              </w:rPr>
            </w:r>
          </w:p>
        </w:tc>
      </w:tr>
    </w:tbl>
    <w:tbl>
      <w:tblPr>
        <w:tblW w:w="5852" w:type="dxa"/>
        <w:jc w:val="start"/>
        <w:tblInd w:w="0" w:type="dxa"/>
        <w:tblLayout w:type="fixed"/>
        <w:tblCellMar>
          <w:top w:w="28" w:type="dxa"/>
          <w:start w:w="28" w:type="dxa"/>
          <w:bottom w:w="28" w:type="dxa"/>
          <w:end w:w="28" w:type="dxa"/>
        </w:tblCellMar>
      </w:tblPr>
      <w:tblGrid>
        <w:gridCol w:w="1295"/>
        <w:gridCol w:w="1008"/>
        <w:gridCol w:w="976"/>
        <w:gridCol w:w="556"/>
        <w:gridCol w:w="556"/>
        <w:gridCol w:w="928"/>
        <w:gridCol w:w="533"/>
      </w:tblGrid>
      <w:tr>
        <w:trPr/>
        <w:tc>
          <w:tcPr>
            <w:tcW w:w="1295" w:type="dxa"/>
            <w:tcBorders/>
            <w:vAlign w:val="center"/>
          </w:tcPr>
          <w:p>
            <w:pPr>
              <w:pStyle w:val="TableContents"/>
              <w:bidi w:val="0"/>
              <w:spacing w:before="0" w:after="283"/>
              <w:jc w:val="start"/>
              <w:rPr/>
            </w:pPr>
            <w:r>
              <w:rPr/>
              <w:t xml:space="preserve">Virulence factors </w:t>
            </w:r>
          </w:p>
        </w:tc>
        <w:tc>
          <w:tcPr>
            <w:tcW w:w="1008" w:type="dxa"/>
            <w:tcBorders/>
            <w:vAlign w:val="center"/>
          </w:tcPr>
          <w:p>
            <w:pPr>
              <w:pStyle w:val="TableContents"/>
              <w:bidi w:val="0"/>
              <w:spacing w:before="0" w:after="283"/>
              <w:jc w:val="start"/>
              <w:rPr/>
            </w:pPr>
            <w:r>
              <w:rPr/>
              <w:t xml:space="preserve">Disease type </w:t>
            </w:r>
          </w:p>
        </w:tc>
        <w:tc>
          <w:tcPr>
            <w:tcW w:w="976" w:type="dxa"/>
            <w:tcBorders/>
            <w:vAlign w:val="center"/>
          </w:tcPr>
          <w:p>
            <w:pPr>
              <w:pStyle w:val="TableContents"/>
              <w:bidi w:val="0"/>
              <w:spacing w:before="0" w:after="283"/>
              <w:jc w:val="start"/>
              <w:rPr/>
            </w:pPr>
            <w:r>
              <w:rPr>
                <w:rStyle w:val="Emphasis"/>
              </w:rPr>
              <w:t xml:space="preserve">P </w:t>
            </w:r>
            <w:r>
              <w:rPr/>
              <w:t xml:space="preserve">-value </w:t>
            </w:r>
          </w:p>
        </w:tc>
        <w:tc>
          <w:tcPr>
            <w:tcW w:w="556" w:type="dxa"/>
            <w:tcBorders/>
            <w:vAlign w:val="center"/>
          </w:tcPr>
          <w:p>
            <w:pPr>
              <w:pStyle w:val="TableContents"/>
              <w:bidi w:val="0"/>
              <w:spacing w:before="0" w:after="283"/>
              <w:jc w:val="start"/>
              <w:rPr/>
            </w:pPr>
            <w:r>
              <w:rPr/>
              <w:t xml:space="preserve">OR* </w:t>
            </w:r>
          </w:p>
        </w:tc>
        <w:tc>
          <w:tcPr>
            <w:tcW w:w="556" w:type="dxa"/>
            <w:tcBorders/>
            <w:vAlign w:val="center"/>
          </w:tcPr>
          <w:p>
            <w:pPr>
              <w:pStyle w:val="TableContents"/>
              <w:bidi w:val="0"/>
              <w:spacing w:before="0" w:after="283"/>
              <w:jc w:val="start"/>
              <w:rPr/>
            </w:pPr>
            <w:r>
              <w:rPr/>
              <w:t xml:space="preserve">CI‡ </w:t>
            </w:r>
          </w:p>
        </w:tc>
        <w:tc>
          <w:tcPr>
            <w:tcW w:w="928" w:type="dxa"/>
            <w:tcBorders/>
            <w:vAlign w:val="center"/>
          </w:tcPr>
          <w:p>
            <w:pPr>
              <w:pStyle w:val="TableContents"/>
              <w:bidi w:val="0"/>
              <w:spacing w:before="0" w:after="283"/>
              <w:jc w:val="start"/>
              <w:rPr/>
            </w:pPr>
            <w:r>
              <w:rPr/>
              <w:t xml:space="preserve">Total strains </w:t>
            </w:r>
          </w:p>
        </w:tc>
        <w:tc>
          <w:tcPr>
            <w:tcW w:w="533" w:type="dxa"/>
            <w:tcBorders/>
          </w:tcPr>
          <w:p>
            <w:pPr>
              <w:pStyle w:val="TableContents"/>
              <w:bidi w:val="0"/>
              <w:spacing w:before="0" w:after="283"/>
              <w:jc w:val="start"/>
              <w:rPr>
                <w:sz w:val="4"/>
                <w:szCs w:val="4"/>
              </w:rPr>
            </w:pPr>
            <w:r>
              <w:rPr>
                <w:sz w:val="4"/>
                <w:szCs w:val="4"/>
              </w:rPr>
            </w:r>
          </w:p>
        </w:tc>
      </w:tr>
      <w:tr>
        <w:trPr/>
        <w:tc>
          <w:tcPr>
            <w:tcW w:w="1295" w:type="dxa"/>
            <w:tcBorders/>
            <w:vAlign w:val="center"/>
          </w:tcPr>
          <w:p>
            <w:pPr>
              <w:pStyle w:val="TableContents"/>
              <w:bidi w:val="0"/>
              <w:jc w:val="start"/>
              <w:rPr/>
            </w:pPr>
            <w:r>
              <w:rPr/>
              <w:t xml:space="preserve">GC </w:t>
            </w:r>
          </w:p>
          <w:p>
            <w:pPr>
              <w:pStyle w:val="TableContents"/>
              <w:bidi w:val="0"/>
              <w:spacing w:before="0" w:after="283"/>
              <w:jc w:val="start"/>
              <w:rPr/>
            </w:pPr>
            <w:r>
              <w:rPr/>
              <w:t xml:space="preserve">N (%) </w:t>
            </w:r>
          </w:p>
        </w:tc>
        <w:tc>
          <w:tcPr>
            <w:tcW w:w="1008" w:type="dxa"/>
            <w:tcBorders/>
            <w:vAlign w:val="center"/>
          </w:tcPr>
          <w:p>
            <w:pPr>
              <w:pStyle w:val="TableContents"/>
              <w:bidi w:val="0"/>
              <w:jc w:val="start"/>
              <w:rPr/>
            </w:pPr>
            <w:r>
              <w:rPr/>
              <w:t xml:space="preserve">NAG </w:t>
            </w:r>
          </w:p>
          <w:p>
            <w:pPr>
              <w:pStyle w:val="TableContents"/>
              <w:bidi w:val="0"/>
              <w:spacing w:before="0" w:after="283"/>
              <w:jc w:val="start"/>
              <w:rPr/>
            </w:pPr>
            <w:r>
              <w:rPr/>
              <w:t xml:space="preserve">N (%) </w:t>
            </w:r>
          </w:p>
        </w:tc>
        <w:tc>
          <w:tcPr>
            <w:tcW w:w="3016" w:type="dxa"/>
            <w:gridSpan w:val="4"/>
            <w:tcBorders/>
          </w:tcPr>
          <w:p>
            <w:pPr>
              <w:pStyle w:val="TableContents"/>
              <w:bidi w:val="0"/>
              <w:spacing w:before="0" w:after="283"/>
              <w:jc w:val="start"/>
              <w:rPr>
                <w:sz w:val="4"/>
                <w:szCs w:val="4"/>
              </w:rPr>
            </w:pPr>
            <w:r>
              <w:rPr>
                <w:sz w:val="4"/>
                <w:szCs w:val="4"/>
              </w:rPr>
            </w:r>
          </w:p>
        </w:tc>
        <w:tc>
          <w:tcPr>
            <w:tcW w:w="533" w:type="dxa"/>
            <w:tcBorders/>
          </w:tcPr>
          <w:p>
            <w:pPr>
              <w:pStyle w:val="TableContents"/>
              <w:bidi w:val="0"/>
              <w:spacing w:before="0" w:after="283"/>
              <w:jc w:val="start"/>
              <w:rPr>
                <w:sz w:val="4"/>
                <w:szCs w:val="4"/>
              </w:rPr>
            </w:pPr>
            <w:r>
              <w:rPr>
                <w:sz w:val="4"/>
                <w:szCs w:val="4"/>
              </w:rPr>
            </w:r>
          </w:p>
        </w:tc>
      </w:tr>
      <w:tr>
        <w:trPr/>
        <w:tc>
          <w:tcPr>
            <w:tcW w:w="1295" w:type="dxa"/>
            <w:tcBorders/>
            <w:vAlign w:val="center"/>
          </w:tcPr>
          <w:p>
            <w:pPr>
              <w:pStyle w:val="TableContents"/>
              <w:bidi w:val="0"/>
              <w:spacing w:before="0" w:after="283"/>
              <w:jc w:val="start"/>
              <w:rPr/>
            </w:pPr>
            <w:r>
              <w:rPr>
                <w:rStyle w:val="Emphasis"/>
              </w:rPr>
              <w:t xml:space="preserve">cagH </w:t>
            </w:r>
          </w:p>
        </w:tc>
        <w:tc>
          <w:tcPr>
            <w:tcW w:w="1008" w:type="dxa"/>
            <w:tcBorders/>
            <w:vAlign w:val="center"/>
          </w:tcPr>
          <w:p>
            <w:pPr>
              <w:pStyle w:val="TableContents"/>
              <w:bidi w:val="0"/>
              <w:spacing w:before="0" w:after="283"/>
              <w:jc w:val="start"/>
              <w:rPr/>
            </w:pPr>
            <w:r>
              <w:rPr/>
              <w:t xml:space="preserve">21/42 (50) </w:t>
            </w:r>
          </w:p>
        </w:tc>
        <w:tc>
          <w:tcPr>
            <w:tcW w:w="976" w:type="dxa"/>
            <w:tcBorders/>
            <w:vAlign w:val="center"/>
          </w:tcPr>
          <w:p>
            <w:pPr>
              <w:pStyle w:val="TableContents"/>
              <w:bidi w:val="0"/>
              <w:spacing w:before="0" w:after="283"/>
              <w:jc w:val="start"/>
              <w:rPr/>
            </w:pPr>
            <w:r>
              <w:rPr/>
              <w:t xml:space="preserve">87/146 (59. 6) </w:t>
            </w:r>
          </w:p>
        </w:tc>
        <w:tc>
          <w:tcPr>
            <w:tcW w:w="556" w:type="dxa"/>
            <w:tcBorders/>
            <w:vAlign w:val="center"/>
          </w:tcPr>
          <w:p>
            <w:pPr>
              <w:pStyle w:val="TableContents"/>
              <w:bidi w:val="0"/>
              <w:spacing w:before="0" w:after="283"/>
              <w:jc w:val="start"/>
              <w:rPr/>
            </w:pPr>
            <w:r>
              <w:rPr/>
              <w:t xml:space="preserve">0. 269 </w:t>
            </w:r>
          </w:p>
        </w:tc>
        <w:tc>
          <w:tcPr>
            <w:tcW w:w="556" w:type="dxa"/>
            <w:tcBorders/>
            <w:vAlign w:val="center"/>
          </w:tcPr>
          <w:p>
            <w:pPr>
              <w:pStyle w:val="TableContents"/>
              <w:bidi w:val="0"/>
              <w:spacing w:before="0" w:after="283"/>
              <w:jc w:val="start"/>
              <w:rPr/>
            </w:pPr>
            <w:r>
              <w:rPr/>
              <w:t xml:space="preserve">0. 678 </w:t>
            </w:r>
          </w:p>
        </w:tc>
        <w:tc>
          <w:tcPr>
            <w:tcW w:w="928" w:type="dxa"/>
            <w:tcBorders/>
            <w:vAlign w:val="center"/>
          </w:tcPr>
          <w:p>
            <w:pPr>
              <w:pStyle w:val="TableContents"/>
              <w:bidi w:val="0"/>
              <w:spacing w:before="0" w:after="283"/>
              <w:jc w:val="start"/>
              <w:rPr/>
            </w:pPr>
            <w:r>
              <w:rPr/>
              <w:t xml:space="preserve">0. 340-1. 351 </w:t>
            </w:r>
          </w:p>
        </w:tc>
        <w:tc>
          <w:tcPr>
            <w:tcW w:w="533" w:type="dxa"/>
            <w:tcBorders/>
            <w:vAlign w:val="center"/>
          </w:tcPr>
          <w:p>
            <w:pPr>
              <w:pStyle w:val="TableContents"/>
              <w:bidi w:val="0"/>
              <w:spacing w:before="0" w:after="283"/>
              <w:jc w:val="start"/>
              <w:rPr/>
            </w:pPr>
            <w:r>
              <w:rPr/>
              <w:t xml:space="preserve">108 </w:t>
            </w:r>
          </w:p>
        </w:tc>
      </w:tr>
      <w:tr>
        <w:trPr/>
        <w:tc>
          <w:tcPr>
            <w:tcW w:w="1295" w:type="dxa"/>
            <w:tcBorders/>
            <w:vAlign w:val="center"/>
          </w:tcPr>
          <w:p>
            <w:pPr>
              <w:pStyle w:val="TableContents"/>
              <w:bidi w:val="0"/>
              <w:spacing w:before="0" w:after="283"/>
              <w:jc w:val="start"/>
              <w:rPr/>
            </w:pPr>
            <w:r>
              <w:rPr>
                <w:rStyle w:val="Emphasis"/>
              </w:rPr>
              <w:t xml:space="preserve">cagL </w:t>
            </w:r>
          </w:p>
        </w:tc>
        <w:tc>
          <w:tcPr>
            <w:tcW w:w="1008" w:type="dxa"/>
            <w:tcBorders/>
            <w:vAlign w:val="center"/>
          </w:tcPr>
          <w:p>
            <w:pPr>
              <w:pStyle w:val="TableContents"/>
              <w:bidi w:val="0"/>
              <w:spacing w:before="0" w:after="283"/>
              <w:jc w:val="start"/>
              <w:rPr/>
            </w:pPr>
            <w:r>
              <w:rPr/>
              <w:t xml:space="preserve">35/42 (83. 3) </w:t>
            </w:r>
          </w:p>
        </w:tc>
        <w:tc>
          <w:tcPr>
            <w:tcW w:w="976" w:type="dxa"/>
            <w:tcBorders/>
            <w:vAlign w:val="center"/>
          </w:tcPr>
          <w:p>
            <w:pPr>
              <w:pStyle w:val="TableContents"/>
              <w:bidi w:val="0"/>
              <w:spacing w:before="0" w:after="283"/>
              <w:jc w:val="start"/>
              <w:rPr/>
            </w:pPr>
            <w:r>
              <w:rPr/>
              <w:t xml:space="preserve">121/146 (82. 9) </w:t>
            </w:r>
          </w:p>
        </w:tc>
        <w:tc>
          <w:tcPr>
            <w:tcW w:w="556" w:type="dxa"/>
            <w:tcBorders/>
            <w:vAlign w:val="center"/>
          </w:tcPr>
          <w:p>
            <w:pPr>
              <w:pStyle w:val="TableContents"/>
              <w:bidi w:val="0"/>
              <w:spacing w:before="0" w:after="283"/>
              <w:jc w:val="start"/>
              <w:rPr/>
            </w:pPr>
            <w:r>
              <w:rPr/>
              <w:t xml:space="preserve">0. 945 </w:t>
            </w:r>
          </w:p>
        </w:tc>
        <w:tc>
          <w:tcPr>
            <w:tcW w:w="556" w:type="dxa"/>
            <w:tcBorders/>
            <w:vAlign w:val="center"/>
          </w:tcPr>
          <w:p>
            <w:pPr>
              <w:pStyle w:val="TableContents"/>
              <w:bidi w:val="0"/>
              <w:spacing w:before="0" w:after="283"/>
              <w:jc w:val="start"/>
              <w:rPr/>
            </w:pPr>
            <w:r>
              <w:rPr/>
              <w:t xml:space="preserve">1. 033 </w:t>
            </w:r>
          </w:p>
        </w:tc>
        <w:tc>
          <w:tcPr>
            <w:tcW w:w="928" w:type="dxa"/>
            <w:tcBorders/>
            <w:vAlign w:val="center"/>
          </w:tcPr>
          <w:p>
            <w:pPr>
              <w:pStyle w:val="TableContents"/>
              <w:bidi w:val="0"/>
              <w:spacing w:before="0" w:after="283"/>
              <w:jc w:val="start"/>
              <w:rPr/>
            </w:pPr>
            <w:r>
              <w:rPr/>
              <w:t xml:space="preserve">0. 412-2. 589 </w:t>
            </w:r>
          </w:p>
        </w:tc>
        <w:tc>
          <w:tcPr>
            <w:tcW w:w="533" w:type="dxa"/>
            <w:tcBorders/>
            <w:vAlign w:val="center"/>
          </w:tcPr>
          <w:p>
            <w:pPr>
              <w:pStyle w:val="TableContents"/>
              <w:bidi w:val="0"/>
              <w:spacing w:before="0" w:after="283"/>
              <w:jc w:val="start"/>
              <w:rPr/>
            </w:pPr>
            <w:r>
              <w:rPr/>
              <w:t xml:space="preserve">156 </w:t>
            </w:r>
          </w:p>
        </w:tc>
      </w:tr>
      <w:tr>
        <w:trPr/>
        <w:tc>
          <w:tcPr>
            <w:tcW w:w="1295" w:type="dxa"/>
            <w:tcBorders/>
            <w:vAlign w:val="center"/>
          </w:tcPr>
          <w:p>
            <w:pPr>
              <w:pStyle w:val="TableContents"/>
              <w:bidi w:val="0"/>
              <w:spacing w:before="0" w:after="283"/>
              <w:jc w:val="start"/>
              <w:rPr/>
            </w:pPr>
            <w:r>
              <w:rPr>
                <w:rStyle w:val="Emphasis"/>
              </w:rPr>
              <w:t xml:space="preserve">cagG </w:t>
            </w:r>
          </w:p>
        </w:tc>
        <w:tc>
          <w:tcPr>
            <w:tcW w:w="1008" w:type="dxa"/>
            <w:tcBorders/>
            <w:vAlign w:val="center"/>
          </w:tcPr>
          <w:p>
            <w:pPr>
              <w:pStyle w:val="TableContents"/>
              <w:bidi w:val="0"/>
              <w:spacing w:before="0" w:after="283"/>
              <w:jc w:val="start"/>
              <w:rPr/>
            </w:pPr>
            <w:r>
              <w:rPr/>
              <w:t xml:space="preserve">26/42 (61. 9) </w:t>
            </w:r>
          </w:p>
        </w:tc>
        <w:tc>
          <w:tcPr>
            <w:tcW w:w="976" w:type="dxa"/>
            <w:tcBorders/>
            <w:vAlign w:val="center"/>
          </w:tcPr>
          <w:p>
            <w:pPr>
              <w:pStyle w:val="TableContents"/>
              <w:bidi w:val="0"/>
              <w:spacing w:before="0" w:after="283"/>
              <w:jc w:val="start"/>
              <w:rPr/>
            </w:pPr>
            <w:r>
              <w:rPr/>
              <w:t xml:space="preserve">109/146 (74. 7) </w:t>
            </w:r>
          </w:p>
        </w:tc>
        <w:tc>
          <w:tcPr>
            <w:tcW w:w="556" w:type="dxa"/>
            <w:tcBorders/>
            <w:vAlign w:val="center"/>
          </w:tcPr>
          <w:p>
            <w:pPr>
              <w:pStyle w:val="TableContents"/>
              <w:bidi w:val="0"/>
              <w:spacing w:before="0" w:after="283"/>
              <w:jc w:val="start"/>
              <w:rPr/>
            </w:pPr>
            <w:r>
              <w:rPr/>
              <w:t xml:space="preserve">0. 108 </w:t>
            </w:r>
          </w:p>
        </w:tc>
        <w:tc>
          <w:tcPr>
            <w:tcW w:w="556" w:type="dxa"/>
            <w:tcBorders/>
            <w:vAlign w:val="center"/>
          </w:tcPr>
          <w:p>
            <w:pPr>
              <w:pStyle w:val="TableContents"/>
              <w:bidi w:val="0"/>
              <w:spacing w:before="0" w:after="283"/>
              <w:jc w:val="start"/>
              <w:rPr/>
            </w:pPr>
            <w:r>
              <w:rPr/>
              <w:t xml:space="preserve">0. 552 </w:t>
            </w:r>
          </w:p>
        </w:tc>
        <w:tc>
          <w:tcPr>
            <w:tcW w:w="928" w:type="dxa"/>
            <w:tcBorders/>
            <w:vAlign w:val="center"/>
          </w:tcPr>
          <w:p>
            <w:pPr>
              <w:pStyle w:val="TableContents"/>
              <w:bidi w:val="0"/>
              <w:spacing w:before="0" w:after="283"/>
              <w:jc w:val="start"/>
              <w:rPr/>
            </w:pPr>
            <w:r>
              <w:rPr/>
              <w:t xml:space="preserve">0267-1. 140 </w:t>
            </w:r>
          </w:p>
        </w:tc>
        <w:tc>
          <w:tcPr>
            <w:tcW w:w="533" w:type="dxa"/>
            <w:tcBorders/>
            <w:vAlign w:val="center"/>
          </w:tcPr>
          <w:p>
            <w:pPr>
              <w:pStyle w:val="TableContents"/>
              <w:bidi w:val="0"/>
              <w:spacing w:before="0" w:after="283"/>
              <w:jc w:val="start"/>
              <w:rPr/>
            </w:pPr>
            <w:r>
              <w:rPr/>
              <w:t xml:space="preserve">136 </w:t>
            </w:r>
          </w:p>
        </w:tc>
      </w:tr>
      <w:tr>
        <w:trPr/>
        <w:tc>
          <w:tcPr>
            <w:tcW w:w="1295" w:type="dxa"/>
            <w:tcBorders/>
            <w:vAlign w:val="center"/>
          </w:tcPr>
          <w:p>
            <w:pPr>
              <w:pStyle w:val="TableContents"/>
              <w:bidi w:val="0"/>
              <w:spacing w:before="0" w:after="283"/>
              <w:jc w:val="start"/>
              <w:rPr/>
            </w:pPr>
            <w:r>
              <w:rPr>
                <w:rStyle w:val="Emphasis"/>
              </w:rPr>
              <w:t xml:space="preserve">orf17 </w:t>
            </w:r>
          </w:p>
        </w:tc>
        <w:tc>
          <w:tcPr>
            <w:tcW w:w="1008" w:type="dxa"/>
            <w:tcBorders/>
            <w:vAlign w:val="center"/>
          </w:tcPr>
          <w:p>
            <w:pPr>
              <w:pStyle w:val="TableContents"/>
              <w:bidi w:val="0"/>
              <w:spacing w:before="0" w:after="283"/>
              <w:jc w:val="start"/>
              <w:rPr/>
            </w:pPr>
            <w:r>
              <w:rPr/>
              <w:t xml:space="preserve">23/42 (54. 8) </w:t>
            </w:r>
          </w:p>
        </w:tc>
        <w:tc>
          <w:tcPr>
            <w:tcW w:w="976" w:type="dxa"/>
            <w:tcBorders/>
            <w:vAlign w:val="center"/>
          </w:tcPr>
          <w:p>
            <w:pPr>
              <w:pStyle w:val="TableContents"/>
              <w:bidi w:val="0"/>
              <w:spacing w:before="0" w:after="283"/>
              <w:jc w:val="start"/>
              <w:rPr/>
            </w:pPr>
            <w:r>
              <w:rPr/>
              <w:t xml:space="preserve">89/146 (61) </w:t>
            </w:r>
          </w:p>
        </w:tc>
        <w:tc>
          <w:tcPr>
            <w:tcW w:w="556" w:type="dxa"/>
            <w:tcBorders/>
            <w:vAlign w:val="center"/>
          </w:tcPr>
          <w:p>
            <w:pPr>
              <w:pStyle w:val="TableContents"/>
              <w:bidi w:val="0"/>
              <w:spacing w:before="0" w:after="283"/>
              <w:jc w:val="start"/>
              <w:rPr/>
            </w:pPr>
            <w:r>
              <w:rPr/>
              <w:t xml:space="preserve">0. 471 </w:t>
            </w:r>
          </w:p>
        </w:tc>
        <w:tc>
          <w:tcPr>
            <w:tcW w:w="556" w:type="dxa"/>
            <w:tcBorders/>
            <w:vAlign w:val="center"/>
          </w:tcPr>
          <w:p>
            <w:pPr>
              <w:pStyle w:val="TableContents"/>
              <w:bidi w:val="0"/>
              <w:spacing w:before="0" w:after="283"/>
              <w:jc w:val="start"/>
              <w:rPr/>
            </w:pPr>
            <w:r>
              <w:rPr/>
              <w:t xml:space="preserve">0. 775 </w:t>
            </w:r>
          </w:p>
        </w:tc>
        <w:tc>
          <w:tcPr>
            <w:tcW w:w="928" w:type="dxa"/>
            <w:tcBorders/>
            <w:vAlign w:val="center"/>
          </w:tcPr>
          <w:p>
            <w:pPr>
              <w:pStyle w:val="TableContents"/>
              <w:bidi w:val="0"/>
              <w:spacing w:before="0" w:after="283"/>
              <w:jc w:val="start"/>
              <w:rPr/>
            </w:pPr>
            <w:r>
              <w:rPr/>
              <w:t xml:space="preserve">0. 388-1. 550 </w:t>
            </w:r>
          </w:p>
        </w:tc>
        <w:tc>
          <w:tcPr>
            <w:tcW w:w="533" w:type="dxa"/>
            <w:tcBorders/>
            <w:vAlign w:val="center"/>
          </w:tcPr>
          <w:p>
            <w:pPr>
              <w:pStyle w:val="TableContents"/>
              <w:bidi w:val="0"/>
              <w:spacing w:before="0" w:after="283"/>
              <w:jc w:val="start"/>
              <w:rPr/>
            </w:pPr>
            <w:r>
              <w:rPr/>
              <w:t xml:space="preserve">112 </w:t>
            </w:r>
          </w:p>
        </w:tc>
      </w:tr>
      <w:tr>
        <w:trPr/>
        <w:tc>
          <w:tcPr>
            <w:tcW w:w="1295" w:type="dxa"/>
            <w:tcBorders/>
            <w:vAlign w:val="center"/>
          </w:tcPr>
          <w:p>
            <w:pPr>
              <w:pStyle w:val="TableContents"/>
              <w:bidi w:val="0"/>
              <w:spacing w:before="0" w:after="283"/>
              <w:jc w:val="start"/>
              <w:rPr/>
            </w:pPr>
            <w:r>
              <w:rPr>
                <w:rStyle w:val="Emphasis"/>
              </w:rPr>
              <w:t xml:space="preserve">cagH/cagL </w:t>
            </w:r>
          </w:p>
        </w:tc>
        <w:tc>
          <w:tcPr>
            <w:tcW w:w="1008" w:type="dxa"/>
            <w:tcBorders/>
            <w:vAlign w:val="center"/>
          </w:tcPr>
          <w:p>
            <w:pPr>
              <w:pStyle w:val="TableContents"/>
              <w:bidi w:val="0"/>
              <w:spacing w:before="0" w:after="283"/>
              <w:jc w:val="start"/>
              <w:rPr/>
            </w:pPr>
            <w:r>
              <w:rPr/>
              <w:t xml:space="preserve">21/28 (75) </w:t>
            </w:r>
          </w:p>
        </w:tc>
        <w:tc>
          <w:tcPr>
            <w:tcW w:w="976" w:type="dxa"/>
            <w:tcBorders/>
            <w:vAlign w:val="center"/>
          </w:tcPr>
          <w:p>
            <w:pPr>
              <w:pStyle w:val="TableContents"/>
              <w:bidi w:val="0"/>
              <w:spacing w:before="0" w:after="283"/>
              <w:jc w:val="start"/>
              <w:rPr/>
            </w:pPr>
            <w:r>
              <w:rPr/>
              <w:t xml:space="preserve">82/102 (80. 4) </w:t>
            </w:r>
          </w:p>
        </w:tc>
        <w:tc>
          <w:tcPr>
            <w:tcW w:w="556" w:type="dxa"/>
            <w:tcBorders/>
            <w:vAlign w:val="center"/>
          </w:tcPr>
          <w:p>
            <w:pPr>
              <w:pStyle w:val="TableContents"/>
              <w:bidi w:val="0"/>
              <w:spacing w:before="0" w:after="283"/>
              <w:jc w:val="start"/>
              <w:rPr/>
            </w:pPr>
            <w:r>
              <w:rPr/>
              <w:t xml:space="preserve">0. 534 </w:t>
            </w:r>
          </w:p>
        </w:tc>
        <w:tc>
          <w:tcPr>
            <w:tcW w:w="556" w:type="dxa"/>
            <w:tcBorders/>
            <w:vAlign w:val="center"/>
          </w:tcPr>
          <w:p>
            <w:pPr>
              <w:pStyle w:val="TableContents"/>
              <w:bidi w:val="0"/>
              <w:spacing w:before="0" w:after="283"/>
              <w:jc w:val="start"/>
              <w:rPr/>
            </w:pPr>
            <w:r>
              <w:rPr/>
              <w:t xml:space="preserve">0. 732 </w:t>
            </w:r>
          </w:p>
        </w:tc>
        <w:tc>
          <w:tcPr>
            <w:tcW w:w="928" w:type="dxa"/>
            <w:tcBorders/>
            <w:vAlign w:val="center"/>
          </w:tcPr>
          <w:p>
            <w:pPr>
              <w:pStyle w:val="TableContents"/>
              <w:bidi w:val="0"/>
              <w:spacing w:before="0" w:after="283"/>
              <w:jc w:val="start"/>
              <w:rPr/>
            </w:pPr>
            <w:r>
              <w:rPr/>
              <w:t xml:space="preserve">0. 273-1. 960 </w:t>
            </w:r>
          </w:p>
        </w:tc>
        <w:tc>
          <w:tcPr>
            <w:tcW w:w="533" w:type="dxa"/>
            <w:tcBorders/>
            <w:vAlign w:val="center"/>
          </w:tcPr>
          <w:p>
            <w:pPr>
              <w:pStyle w:val="TableContents"/>
              <w:bidi w:val="0"/>
              <w:spacing w:before="0" w:after="283"/>
              <w:jc w:val="start"/>
              <w:rPr/>
            </w:pPr>
            <w:r>
              <w:rPr/>
              <w:t xml:space="preserve">103 </w:t>
            </w:r>
          </w:p>
        </w:tc>
      </w:tr>
      <w:tr>
        <w:trPr/>
        <w:tc>
          <w:tcPr>
            <w:tcW w:w="1295" w:type="dxa"/>
            <w:tcBorders/>
            <w:vAlign w:val="center"/>
          </w:tcPr>
          <w:p>
            <w:pPr>
              <w:pStyle w:val="TableContents"/>
              <w:bidi w:val="0"/>
              <w:spacing w:before="0" w:after="283"/>
              <w:jc w:val="start"/>
              <w:rPr/>
            </w:pPr>
            <w:r>
              <w:rPr>
                <w:rStyle w:val="Emphasis"/>
              </w:rPr>
              <w:t xml:space="preserve">cagH/cagG </w:t>
            </w:r>
          </w:p>
        </w:tc>
        <w:tc>
          <w:tcPr>
            <w:tcW w:w="1008" w:type="dxa"/>
            <w:tcBorders/>
            <w:vAlign w:val="center"/>
          </w:tcPr>
          <w:p>
            <w:pPr>
              <w:pStyle w:val="TableContents"/>
              <w:bidi w:val="0"/>
              <w:spacing w:before="0" w:after="283"/>
              <w:jc w:val="start"/>
              <w:rPr/>
            </w:pPr>
            <w:r>
              <w:rPr/>
              <w:t xml:space="preserve">19/33 (57. 6) </w:t>
            </w:r>
          </w:p>
        </w:tc>
        <w:tc>
          <w:tcPr>
            <w:tcW w:w="976" w:type="dxa"/>
            <w:tcBorders/>
            <w:vAlign w:val="center"/>
          </w:tcPr>
          <w:p>
            <w:pPr>
              <w:pStyle w:val="TableContents"/>
              <w:bidi w:val="0"/>
              <w:spacing w:before="0" w:after="283"/>
              <w:jc w:val="start"/>
              <w:rPr/>
            </w:pPr>
            <w:r>
              <w:rPr/>
              <w:t xml:space="preserve">70/90 (77. 8) </w:t>
            </w:r>
          </w:p>
        </w:tc>
        <w:tc>
          <w:tcPr>
            <w:tcW w:w="556" w:type="dxa"/>
            <w:tcBorders/>
            <w:vAlign w:val="center"/>
          </w:tcPr>
          <w:p>
            <w:pPr>
              <w:pStyle w:val="TableContents"/>
              <w:bidi w:val="0"/>
              <w:spacing w:before="0" w:after="283"/>
              <w:jc w:val="start"/>
              <w:rPr/>
            </w:pPr>
            <w:r>
              <w:rPr/>
              <w:t xml:space="preserve">0. 029 </w:t>
            </w:r>
          </w:p>
        </w:tc>
        <w:tc>
          <w:tcPr>
            <w:tcW w:w="556" w:type="dxa"/>
            <w:tcBorders/>
            <w:vAlign w:val="center"/>
          </w:tcPr>
          <w:p>
            <w:pPr>
              <w:pStyle w:val="TableContents"/>
              <w:bidi w:val="0"/>
              <w:spacing w:before="0" w:after="283"/>
              <w:jc w:val="start"/>
              <w:rPr/>
            </w:pPr>
            <w:r>
              <w:rPr/>
              <w:t xml:space="preserve">0. 388 </w:t>
            </w:r>
          </w:p>
        </w:tc>
        <w:tc>
          <w:tcPr>
            <w:tcW w:w="928" w:type="dxa"/>
            <w:tcBorders/>
            <w:vAlign w:val="center"/>
          </w:tcPr>
          <w:p>
            <w:pPr>
              <w:pStyle w:val="TableContents"/>
              <w:bidi w:val="0"/>
              <w:spacing w:before="0" w:after="283"/>
              <w:jc w:val="start"/>
              <w:rPr/>
            </w:pPr>
            <w:r>
              <w:rPr/>
              <w:t xml:space="preserve">0. 166-0. 908 </w:t>
            </w:r>
          </w:p>
        </w:tc>
        <w:tc>
          <w:tcPr>
            <w:tcW w:w="533" w:type="dxa"/>
            <w:tcBorders/>
            <w:vAlign w:val="center"/>
          </w:tcPr>
          <w:p>
            <w:pPr>
              <w:pStyle w:val="TableContents"/>
              <w:bidi w:val="0"/>
              <w:spacing w:before="0" w:after="283"/>
              <w:jc w:val="start"/>
              <w:rPr/>
            </w:pPr>
            <w:r>
              <w:rPr/>
              <w:t xml:space="preserve">89 </w:t>
            </w:r>
          </w:p>
        </w:tc>
      </w:tr>
      <w:tr>
        <w:trPr/>
        <w:tc>
          <w:tcPr>
            <w:tcW w:w="1295" w:type="dxa"/>
            <w:tcBorders/>
            <w:vAlign w:val="center"/>
          </w:tcPr>
          <w:p>
            <w:pPr>
              <w:pStyle w:val="TableContents"/>
              <w:bidi w:val="0"/>
              <w:spacing w:before="0" w:after="283"/>
              <w:jc w:val="start"/>
              <w:rPr/>
            </w:pPr>
            <w:r>
              <w:rPr>
                <w:rStyle w:val="Emphasis"/>
              </w:rPr>
              <w:t xml:space="preserve">cagH/orf17 </w:t>
            </w:r>
          </w:p>
        </w:tc>
        <w:tc>
          <w:tcPr>
            <w:tcW w:w="1008" w:type="dxa"/>
            <w:tcBorders/>
            <w:vAlign w:val="center"/>
          </w:tcPr>
          <w:p>
            <w:pPr>
              <w:pStyle w:val="TableContents"/>
              <w:bidi w:val="0"/>
              <w:spacing w:before="0" w:after="283"/>
              <w:jc w:val="start"/>
              <w:rPr/>
            </w:pPr>
            <w:r>
              <w:rPr/>
              <w:t xml:space="preserve">20/38 (52. 3) </w:t>
            </w:r>
          </w:p>
        </w:tc>
        <w:tc>
          <w:tcPr>
            <w:tcW w:w="976" w:type="dxa"/>
            <w:tcBorders/>
            <w:vAlign w:val="center"/>
          </w:tcPr>
          <w:p>
            <w:pPr>
              <w:pStyle w:val="TableContents"/>
              <w:bidi w:val="0"/>
              <w:spacing w:before="0" w:after="283"/>
              <w:jc w:val="start"/>
              <w:rPr/>
            </w:pPr>
            <w:r>
              <w:rPr/>
              <w:t xml:space="preserve">73/116 (62. 9) </w:t>
            </w:r>
          </w:p>
        </w:tc>
        <w:tc>
          <w:tcPr>
            <w:tcW w:w="556" w:type="dxa"/>
            <w:tcBorders/>
            <w:vAlign w:val="center"/>
          </w:tcPr>
          <w:p>
            <w:pPr>
              <w:pStyle w:val="TableContents"/>
              <w:bidi w:val="0"/>
              <w:spacing w:before="0" w:after="283"/>
              <w:jc w:val="start"/>
              <w:rPr/>
            </w:pPr>
            <w:r>
              <w:rPr/>
              <w:t xml:space="preserve">0. 261 </w:t>
            </w:r>
          </w:p>
        </w:tc>
        <w:tc>
          <w:tcPr>
            <w:tcW w:w="556" w:type="dxa"/>
            <w:tcBorders/>
            <w:vAlign w:val="center"/>
          </w:tcPr>
          <w:p>
            <w:pPr>
              <w:pStyle w:val="TableContents"/>
              <w:bidi w:val="0"/>
              <w:spacing w:before="0" w:after="283"/>
              <w:jc w:val="start"/>
              <w:rPr/>
            </w:pPr>
            <w:r>
              <w:rPr/>
              <w:t xml:space="preserve">0. 654 </w:t>
            </w:r>
          </w:p>
        </w:tc>
        <w:tc>
          <w:tcPr>
            <w:tcW w:w="928" w:type="dxa"/>
            <w:tcBorders/>
            <w:vAlign w:val="center"/>
          </w:tcPr>
          <w:p>
            <w:pPr>
              <w:pStyle w:val="TableContents"/>
              <w:bidi w:val="0"/>
              <w:spacing w:before="0" w:after="283"/>
              <w:jc w:val="start"/>
              <w:rPr/>
            </w:pPr>
            <w:r>
              <w:rPr/>
              <w:t xml:space="preserve">0. 312-1. 372 </w:t>
            </w:r>
          </w:p>
        </w:tc>
        <w:tc>
          <w:tcPr>
            <w:tcW w:w="533" w:type="dxa"/>
            <w:tcBorders/>
            <w:vAlign w:val="center"/>
          </w:tcPr>
          <w:p>
            <w:pPr>
              <w:pStyle w:val="TableContents"/>
              <w:bidi w:val="0"/>
              <w:spacing w:before="0" w:after="283"/>
              <w:jc w:val="start"/>
              <w:rPr/>
            </w:pPr>
            <w:r>
              <w:rPr/>
              <w:t xml:space="preserve">93 </w:t>
            </w:r>
          </w:p>
        </w:tc>
      </w:tr>
      <w:tr>
        <w:trPr/>
        <w:tc>
          <w:tcPr>
            <w:tcW w:w="1295" w:type="dxa"/>
            <w:tcBorders/>
            <w:vAlign w:val="center"/>
          </w:tcPr>
          <w:p>
            <w:pPr>
              <w:pStyle w:val="TableContents"/>
              <w:bidi w:val="0"/>
              <w:spacing w:before="0" w:after="283"/>
              <w:jc w:val="start"/>
              <w:rPr/>
            </w:pPr>
            <w:r>
              <w:rPr>
                <w:rStyle w:val="Emphasis"/>
              </w:rPr>
              <w:t xml:space="preserve">cagL/cagG </w:t>
            </w:r>
          </w:p>
        </w:tc>
        <w:tc>
          <w:tcPr>
            <w:tcW w:w="1008" w:type="dxa"/>
            <w:tcBorders/>
            <w:vAlign w:val="center"/>
          </w:tcPr>
          <w:p>
            <w:pPr>
              <w:pStyle w:val="TableContents"/>
              <w:bidi w:val="0"/>
              <w:spacing w:before="0" w:after="283"/>
              <w:jc w:val="start"/>
              <w:rPr/>
            </w:pPr>
            <w:r>
              <w:rPr/>
              <w:t xml:space="preserve">24/29 (82. 8) </w:t>
            </w:r>
          </w:p>
        </w:tc>
        <w:tc>
          <w:tcPr>
            <w:tcW w:w="976" w:type="dxa"/>
            <w:tcBorders/>
            <w:vAlign w:val="center"/>
          </w:tcPr>
          <w:p>
            <w:pPr>
              <w:pStyle w:val="TableContents"/>
              <w:bidi w:val="0"/>
              <w:spacing w:before="0" w:after="283"/>
              <w:jc w:val="start"/>
              <w:rPr/>
            </w:pPr>
            <w:r>
              <w:rPr/>
              <w:t xml:space="preserve">96/108 (88. 9) </w:t>
            </w:r>
          </w:p>
        </w:tc>
        <w:tc>
          <w:tcPr>
            <w:tcW w:w="556" w:type="dxa"/>
            <w:tcBorders/>
            <w:vAlign w:val="center"/>
          </w:tcPr>
          <w:p>
            <w:pPr>
              <w:pStyle w:val="TableContents"/>
              <w:bidi w:val="0"/>
              <w:spacing w:before="0" w:after="283"/>
              <w:jc w:val="start"/>
              <w:rPr/>
            </w:pPr>
            <w:r>
              <w:rPr/>
              <w:t xml:space="preserve">0. 378 </w:t>
            </w:r>
          </w:p>
        </w:tc>
        <w:tc>
          <w:tcPr>
            <w:tcW w:w="556" w:type="dxa"/>
            <w:tcBorders/>
            <w:vAlign w:val="center"/>
          </w:tcPr>
          <w:p>
            <w:pPr>
              <w:pStyle w:val="TableContents"/>
              <w:bidi w:val="0"/>
              <w:spacing w:before="0" w:after="283"/>
              <w:jc w:val="start"/>
              <w:rPr/>
            </w:pPr>
            <w:r>
              <w:rPr/>
              <w:t xml:space="preserve">0. 600 </w:t>
            </w:r>
          </w:p>
        </w:tc>
        <w:tc>
          <w:tcPr>
            <w:tcW w:w="928" w:type="dxa"/>
            <w:tcBorders/>
            <w:vAlign w:val="center"/>
          </w:tcPr>
          <w:p>
            <w:pPr>
              <w:pStyle w:val="TableContents"/>
              <w:bidi w:val="0"/>
              <w:spacing w:before="0" w:after="283"/>
              <w:jc w:val="start"/>
              <w:rPr/>
            </w:pPr>
            <w:r>
              <w:rPr/>
              <w:t xml:space="preserve">0. 193-1. 867 </w:t>
            </w:r>
          </w:p>
        </w:tc>
        <w:tc>
          <w:tcPr>
            <w:tcW w:w="533" w:type="dxa"/>
            <w:tcBorders/>
            <w:vAlign w:val="center"/>
          </w:tcPr>
          <w:p>
            <w:pPr>
              <w:pStyle w:val="TableContents"/>
              <w:bidi w:val="0"/>
              <w:spacing w:before="0" w:after="283"/>
              <w:jc w:val="start"/>
              <w:rPr/>
            </w:pPr>
            <w:r>
              <w:rPr/>
              <w:t xml:space="preserve">120 </w:t>
            </w:r>
          </w:p>
        </w:tc>
      </w:tr>
      <w:tr>
        <w:trPr/>
        <w:tc>
          <w:tcPr>
            <w:tcW w:w="1295" w:type="dxa"/>
            <w:tcBorders/>
            <w:vAlign w:val="center"/>
          </w:tcPr>
          <w:p>
            <w:pPr>
              <w:pStyle w:val="TableContents"/>
              <w:bidi w:val="0"/>
              <w:spacing w:before="0" w:after="283"/>
              <w:jc w:val="start"/>
              <w:rPr/>
            </w:pPr>
            <w:r>
              <w:rPr>
                <w:rStyle w:val="Emphasis"/>
              </w:rPr>
              <w:t xml:space="preserve">cagL/orf17 </w:t>
            </w:r>
          </w:p>
        </w:tc>
        <w:tc>
          <w:tcPr>
            <w:tcW w:w="1008" w:type="dxa"/>
            <w:tcBorders/>
            <w:vAlign w:val="center"/>
          </w:tcPr>
          <w:p>
            <w:pPr>
              <w:pStyle w:val="TableContents"/>
              <w:bidi w:val="0"/>
              <w:spacing w:before="0" w:after="283"/>
              <w:jc w:val="start"/>
              <w:rPr/>
            </w:pPr>
            <w:r>
              <w:rPr/>
              <w:t xml:space="preserve">22/28 (78. 6) </w:t>
            </w:r>
          </w:p>
        </w:tc>
        <w:tc>
          <w:tcPr>
            <w:tcW w:w="976" w:type="dxa"/>
            <w:tcBorders/>
            <w:vAlign w:val="center"/>
          </w:tcPr>
          <w:p>
            <w:pPr>
              <w:pStyle w:val="TableContents"/>
              <w:bidi w:val="0"/>
              <w:spacing w:before="0" w:after="283"/>
              <w:jc w:val="start"/>
              <w:rPr/>
            </w:pPr>
            <w:r>
              <w:rPr/>
              <w:t xml:space="preserve">81/97 (83. 5) </w:t>
            </w:r>
          </w:p>
        </w:tc>
        <w:tc>
          <w:tcPr>
            <w:tcW w:w="556" w:type="dxa"/>
            <w:tcBorders/>
            <w:vAlign w:val="center"/>
          </w:tcPr>
          <w:p>
            <w:pPr>
              <w:pStyle w:val="TableContents"/>
              <w:bidi w:val="0"/>
              <w:spacing w:before="0" w:after="283"/>
              <w:jc w:val="start"/>
              <w:rPr/>
            </w:pPr>
            <w:r>
              <w:rPr/>
              <w:t xml:space="preserve">0. 547 </w:t>
            </w:r>
          </w:p>
        </w:tc>
        <w:tc>
          <w:tcPr>
            <w:tcW w:w="556" w:type="dxa"/>
            <w:tcBorders/>
            <w:vAlign w:val="center"/>
          </w:tcPr>
          <w:p>
            <w:pPr>
              <w:pStyle w:val="TableContents"/>
              <w:bidi w:val="0"/>
              <w:spacing w:before="0" w:after="283"/>
              <w:jc w:val="start"/>
              <w:rPr/>
            </w:pPr>
            <w:r>
              <w:rPr/>
              <w:t xml:space="preserve">0. 724 </w:t>
            </w:r>
          </w:p>
        </w:tc>
        <w:tc>
          <w:tcPr>
            <w:tcW w:w="928" w:type="dxa"/>
            <w:tcBorders/>
            <w:vAlign w:val="center"/>
          </w:tcPr>
          <w:p>
            <w:pPr>
              <w:pStyle w:val="TableContents"/>
              <w:bidi w:val="0"/>
              <w:spacing w:before="0" w:after="283"/>
              <w:jc w:val="start"/>
              <w:rPr/>
            </w:pPr>
            <w:r>
              <w:rPr/>
              <w:t xml:space="preserve">0. 253-2. 070 </w:t>
            </w:r>
          </w:p>
        </w:tc>
        <w:tc>
          <w:tcPr>
            <w:tcW w:w="533" w:type="dxa"/>
            <w:tcBorders/>
            <w:vAlign w:val="center"/>
          </w:tcPr>
          <w:p>
            <w:pPr>
              <w:pStyle w:val="TableContents"/>
              <w:bidi w:val="0"/>
              <w:spacing w:before="0" w:after="283"/>
              <w:jc w:val="start"/>
              <w:rPr/>
            </w:pPr>
            <w:r>
              <w:rPr/>
              <w:t xml:space="preserve">103 </w:t>
            </w:r>
          </w:p>
        </w:tc>
      </w:tr>
      <w:tr>
        <w:trPr/>
        <w:tc>
          <w:tcPr>
            <w:tcW w:w="1295" w:type="dxa"/>
            <w:tcBorders/>
            <w:vAlign w:val="center"/>
          </w:tcPr>
          <w:p>
            <w:pPr>
              <w:pStyle w:val="TableContents"/>
              <w:bidi w:val="0"/>
              <w:spacing w:before="0" w:after="283"/>
              <w:jc w:val="start"/>
              <w:rPr/>
            </w:pPr>
            <w:r>
              <w:rPr>
                <w:rStyle w:val="Emphasis"/>
              </w:rPr>
              <w:t xml:space="preserve">cagG/orf17 </w:t>
            </w:r>
          </w:p>
        </w:tc>
        <w:tc>
          <w:tcPr>
            <w:tcW w:w="1008" w:type="dxa"/>
            <w:tcBorders/>
            <w:vAlign w:val="center"/>
          </w:tcPr>
          <w:p>
            <w:pPr>
              <w:pStyle w:val="TableContents"/>
              <w:bidi w:val="0"/>
              <w:spacing w:before="0" w:after="283"/>
              <w:jc w:val="start"/>
              <w:rPr/>
            </w:pPr>
            <w:r>
              <w:rPr/>
              <w:t xml:space="preserve">19/31 (61. 3) </w:t>
            </w:r>
          </w:p>
        </w:tc>
        <w:tc>
          <w:tcPr>
            <w:tcW w:w="976" w:type="dxa"/>
            <w:tcBorders/>
            <w:vAlign w:val="center"/>
          </w:tcPr>
          <w:p>
            <w:pPr>
              <w:pStyle w:val="TableContents"/>
              <w:bidi w:val="0"/>
              <w:spacing w:before="0" w:after="283"/>
              <w:jc w:val="start"/>
              <w:rPr/>
            </w:pPr>
            <w:r>
              <w:rPr/>
              <w:t xml:space="preserve">70/89 (78. 7) </w:t>
            </w:r>
          </w:p>
        </w:tc>
        <w:tc>
          <w:tcPr>
            <w:tcW w:w="556" w:type="dxa"/>
            <w:tcBorders/>
            <w:vAlign w:val="center"/>
          </w:tcPr>
          <w:p>
            <w:pPr>
              <w:pStyle w:val="TableContents"/>
              <w:bidi w:val="0"/>
              <w:spacing w:before="0" w:after="283"/>
              <w:jc w:val="start"/>
              <w:rPr/>
            </w:pPr>
            <w:r>
              <w:rPr/>
              <w:t xml:space="preserve">0. 061 </w:t>
            </w:r>
          </w:p>
        </w:tc>
        <w:tc>
          <w:tcPr>
            <w:tcW w:w="556" w:type="dxa"/>
            <w:tcBorders/>
            <w:vAlign w:val="center"/>
          </w:tcPr>
          <w:p>
            <w:pPr>
              <w:pStyle w:val="TableContents"/>
              <w:bidi w:val="0"/>
              <w:spacing w:before="0" w:after="283"/>
              <w:jc w:val="start"/>
              <w:rPr/>
            </w:pPr>
            <w:r>
              <w:rPr/>
              <w:t xml:space="preserve">0. 430 </w:t>
            </w:r>
          </w:p>
        </w:tc>
        <w:tc>
          <w:tcPr>
            <w:tcW w:w="928" w:type="dxa"/>
            <w:tcBorders/>
            <w:vAlign w:val="center"/>
          </w:tcPr>
          <w:p>
            <w:pPr>
              <w:pStyle w:val="TableContents"/>
              <w:bidi w:val="0"/>
              <w:spacing w:before="0" w:after="283"/>
              <w:jc w:val="start"/>
              <w:rPr/>
            </w:pPr>
            <w:r>
              <w:rPr/>
              <w:t xml:space="preserve">0. 178-1. 039 </w:t>
            </w:r>
          </w:p>
        </w:tc>
        <w:tc>
          <w:tcPr>
            <w:tcW w:w="533" w:type="dxa"/>
            <w:tcBorders/>
            <w:vAlign w:val="center"/>
          </w:tcPr>
          <w:p>
            <w:pPr>
              <w:pStyle w:val="TableContents"/>
              <w:bidi w:val="0"/>
              <w:spacing w:before="0" w:after="283"/>
              <w:jc w:val="start"/>
              <w:rPr/>
            </w:pPr>
            <w:r>
              <w:rPr/>
              <w:t xml:space="preserve">89 </w:t>
            </w:r>
          </w:p>
        </w:tc>
      </w:tr>
      <w:tr>
        <w:trPr/>
        <w:tc>
          <w:tcPr>
            <w:tcW w:w="1295" w:type="dxa"/>
            <w:tcBorders/>
            <w:vAlign w:val="center"/>
          </w:tcPr>
          <w:p>
            <w:pPr>
              <w:pStyle w:val="TableContents"/>
              <w:bidi w:val="0"/>
              <w:spacing w:before="0" w:after="283"/>
              <w:jc w:val="start"/>
              <w:rPr/>
            </w:pPr>
            <w:r>
              <w:rPr>
                <w:rStyle w:val="Emphasis"/>
              </w:rPr>
              <w:t xml:space="preserve">cagH/cagG/cagL </w:t>
            </w:r>
          </w:p>
        </w:tc>
        <w:tc>
          <w:tcPr>
            <w:tcW w:w="1008" w:type="dxa"/>
            <w:tcBorders/>
            <w:vAlign w:val="center"/>
          </w:tcPr>
          <w:p>
            <w:pPr>
              <w:pStyle w:val="TableContents"/>
              <w:bidi w:val="0"/>
              <w:spacing w:before="0" w:after="283"/>
              <w:jc w:val="start"/>
              <w:rPr/>
            </w:pPr>
            <w:r>
              <w:rPr/>
              <w:t xml:space="preserve">19/24 (79. 2) </w:t>
            </w:r>
          </w:p>
        </w:tc>
        <w:tc>
          <w:tcPr>
            <w:tcW w:w="976" w:type="dxa"/>
            <w:tcBorders/>
            <w:vAlign w:val="center"/>
          </w:tcPr>
          <w:p>
            <w:pPr>
              <w:pStyle w:val="TableContents"/>
              <w:bidi w:val="0"/>
              <w:spacing w:before="0" w:after="283"/>
              <w:jc w:val="start"/>
              <w:rPr/>
            </w:pPr>
            <w:r>
              <w:rPr/>
              <w:t xml:space="preserve">67/77 (87) </w:t>
            </w:r>
          </w:p>
        </w:tc>
        <w:tc>
          <w:tcPr>
            <w:tcW w:w="556" w:type="dxa"/>
            <w:tcBorders/>
            <w:vAlign w:val="center"/>
          </w:tcPr>
          <w:p>
            <w:pPr>
              <w:pStyle w:val="TableContents"/>
              <w:bidi w:val="0"/>
              <w:spacing w:before="0" w:after="283"/>
              <w:jc w:val="start"/>
              <w:rPr/>
            </w:pPr>
            <w:r>
              <w:rPr/>
              <w:t xml:space="preserve">0. 350 </w:t>
            </w:r>
          </w:p>
        </w:tc>
        <w:tc>
          <w:tcPr>
            <w:tcW w:w="556" w:type="dxa"/>
            <w:tcBorders/>
            <w:vAlign w:val="center"/>
          </w:tcPr>
          <w:p>
            <w:pPr>
              <w:pStyle w:val="TableContents"/>
              <w:bidi w:val="0"/>
              <w:spacing w:before="0" w:after="283"/>
              <w:jc w:val="start"/>
              <w:rPr/>
            </w:pPr>
            <w:r>
              <w:rPr/>
              <w:t xml:space="preserve">0. 567 </w:t>
            </w:r>
          </w:p>
        </w:tc>
        <w:tc>
          <w:tcPr>
            <w:tcW w:w="928" w:type="dxa"/>
            <w:tcBorders/>
            <w:vAlign w:val="center"/>
          </w:tcPr>
          <w:p>
            <w:pPr>
              <w:pStyle w:val="TableContents"/>
              <w:bidi w:val="0"/>
              <w:spacing w:before="0" w:after="283"/>
              <w:jc w:val="start"/>
              <w:rPr/>
            </w:pPr>
            <w:r>
              <w:rPr/>
              <w:t xml:space="preserve">0. 173-1. 861 </w:t>
            </w:r>
          </w:p>
        </w:tc>
        <w:tc>
          <w:tcPr>
            <w:tcW w:w="533" w:type="dxa"/>
            <w:tcBorders/>
            <w:vAlign w:val="center"/>
          </w:tcPr>
          <w:p>
            <w:pPr>
              <w:pStyle w:val="TableContents"/>
              <w:bidi w:val="0"/>
              <w:spacing w:before="0" w:after="283"/>
              <w:jc w:val="start"/>
              <w:rPr/>
            </w:pPr>
            <w:r>
              <w:rPr/>
              <w:t xml:space="preserve">86 </w:t>
            </w:r>
          </w:p>
        </w:tc>
      </w:tr>
      <w:tr>
        <w:trPr/>
        <w:tc>
          <w:tcPr>
            <w:tcW w:w="1295" w:type="dxa"/>
            <w:tcBorders/>
            <w:vAlign w:val="center"/>
          </w:tcPr>
          <w:p>
            <w:pPr>
              <w:pStyle w:val="TableContents"/>
              <w:bidi w:val="0"/>
              <w:spacing w:before="0" w:after="283"/>
              <w:jc w:val="start"/>
              <w:rPr/>
            </w:pPr>
            <w:r>
              <w:rPr>
                <w:rStyle w:val="Emphasis"/>
              </w:rPr>
              <w:t xml:space="preserve">cagH/cagG/orf17 </w:t>
            </w:r>
          </w:p>
        </w:tc>
        <w:tc>
          <w:tcPr>
            <w:tcW w:w="1008" w:type="dxa"/>
            <w:tcBorders/>
            <w:vAlign w:val="center"/>
          </w:tcPr>
          <w:p>
            <w:pPr>
              <w:pStyle w:val="TableContents"/>
              <w:bidi w:val="0"/>
              <w:spacing w:before="0" w:after="283"/>
              <w:jc w:val="start"/>
              <w:rPr/>
            </w:pPr>
            <w:r>
              <w:rPr/>
              <w:t xml:space="preserve">19/30 (63. 3) </w:t>
            </w:r>
          </w:p>
        </w:tc>
        <w:tc>
          <w:tcPr>
            <w:tcW w:w="976" w:type="dxa"/>
            <w:tcBorders/>
            <w:vAlign w:val="center"/>
          </w:tcPr>
          <w:p>
            <w:pPr>
              <w:pStyle w:val="TableContents"/>
              <w:bidi w:val="0"/>
              <w:spacing w:before="0" w:after="283"/>
              <w:jc w:val="start"/>
              <w:rPr/>
            </w:pPr>
            <w:r>
              <w:rPr/>
              <w:t xml:space="preserve">61/75 (81. 3) </w:t>
            </w:r>
          </w:p>
        </w:tc>
        <w:tc>
          <w:tcPr>
            <w:tcW w:w="556" w:type="dxa"/>
            <w:tcBorders/>
            <w:vAlign w:val="center"/>
          </w:tcPr>
          <w:p>
            <w:pPr>
              <w:pStyle w:val="TableContents"/>
              <w:bidi w:val="0"/>
              <w:spacing w:before="0" w:after="283"/>
              <w:jc w:val="start"/>
              <w:rPr/>
            </w:pPr>
            <w:r>
              <w:rPr/>
              <w:t xml:space="preserve">0. 054 </w:t>
            </w:r>
          </w:p>
        </w:tc>
        <w:tc>
          <w:tcPr>
            <w:tcW w:w="556" w:type="dxa"/>
            <w:tcBorders/>
            <w:vAlign w:val="center"/>
          </w:tcPr>
          <w:p>
            <w:pPr>
              <w:pStyle w:val="TableContents"/>
              <w:bidi w:val="0"/>
              <w:spacing w:before="0" w:after="283"/>
              <w:jc w:val="start"/>
              <w:rPr/>
            </w:pPr>
            <w:r>
              <w:rPr/>
              <w:t xml:space="preserve">0. 396 </w:t>
            </w:r>
          </w:p>
        </w:tc>
        <w:tc>
          <w:tcPr>
            <w:tcW w:w="928" w:type="dxa"/>
            <w:tcBorders/>
            <w:vAlign w:val="center"/>
          </w:tcPr>
          <w:p>
            <w:pPr>
              <w:pStyle w:val="TableContents"/>
              <w:bidi w:val="0"/>
              <w:spacing w:before="0" w:after="283"/>
              <w:jc w:val="start"/>
              <w:rPr/>
            </w:pPr>
            <w:r>
              <w:rPr/>
              <w:t xml:space="preserve">0. 154-1. 018 </w:t>
            </w:r>
          </w:p>
        </w:tc>
        <w:tc>
          <w:tcPr>
            <w:tcW w:w="533" w:type="dxa"/>
            <w:tcBorders/>
            <w:vAlign w:val="center"/>
          </w:tcPr>
          <w:p>
            <w:pPr>
              <w:pStyle w:val="TableContents"/>
              <w:bidi w:val="0"/>
              <w:spacing w:before="0" w:after="283"/>
              <w:jc w:val="start"/>
              <w:rPr/>
            </w:pPr>
            <w:r>
              <w:rPr/>
              <w:t xml:space="preserve">80 </w:t>
            </w:r>
          </w:p>
        </w:tc>
      </w:tr>
      <w:tr>
        <w:trPr/>
        <w:tc>
          <w:tcPr>
            <w:tcW w:w="1295" w:type="dxa"/>
            <w:tcBorders/>
            <w:vAlign w:val="center"/>
          </w:tcPr>
          <w:p>
            <w:pPr>
              <w:pStyle w:val="TableContents"/>
              <w:bidi w:val="0"/>
              <w:spacing w:before="0" w:after="283"/>
              <w:jc w:val="start"/>
              <w:rPr/>
            </w:pPr>
            <w:r>
              <w:rPr>
                <w:rStyle w:val="Emphasis"/>
              </w:rPr>
              <w:t xml:space="preserve">cagH/cagL/orf17 </w:t>
            </w:r>
          </w:p>
        </w:tc>
        <w:tc>
          <w:tcPr>
            <w:tcW w:w="1008" w:type="dxa"/>
            <w:tcBorders/>
            <w:vAlign w:val="center"/>
          </w:tcPr>
          <w:p>
            <w:pPr>
              <w:pStyle w:val="TableContents"/>
              <w:bidi w:val="0"/>
              <w:spacing w:before="0" w:after="283"/>
              <w:jc w:val="start"/>
              <w:rPr/>
            </w:pPr>
            <w:r>
              <w:rPr/>
              <w:t xml:space="preserve">20/26 (76. 9) </w:t>
            </w:r>
          </w:p>
        </w:tc>
        <w:tc>
          <w:tcPr>
            <w:tcW w:w="976" w:type="dxa"/>
            <w:tcBorders/>
            <w:vAlign w:val="center"/>
          </w:tcPr>
          <w:p>
            <w:pPr>
              <w:pStyle w:val="TableContents"/>
              <w:bidi w:val="0"/>
              <w:spacing w:before="0" w:after="283"/>
              <w:jc w:val="start"/>
              <w:rPr/>
            </w:pPr>
            <w:r>
              <w:rPr/>
              <w:t xml:space="preserve">70/84 (83. 3) </w:t>
            </w:r>
          </w:p>
        </w:tc>
        <w:tc>
          <w:tcPr>
            <w:tcW w:w="556" w:type="dxa"/>
            <w:tcBorders/>
            <w:vAlign w:val="center"/>
          </w:tcPr>
          <w:p>
            <w:pPr>
              <w:pStyle w:val="TableContents"/>
              <w:bidi w:val="0"/>
              <w:spacing w:before="0" w:after="283"/>
              <w:jc w:val="start"/>
              <w:rPr/>
            </w:pPr>
            <w:r>
              <w:rPr/>
              <w:t xml:space="preserve">0. 461 </w:t>
            </w:r>
          </w:p>
        </w:tc>
        <w:tc>
          <w:tcPr>
            <w:tcW w:w="556" w:type="dxa"/>
            <w:tcBorders/>
            <w:vAlign w:val="center"/>
          </w:tcPr>
          <w:p>
            <w:pPr>
              <w:pStyle w:val="TableContents"/>
              <w:bidi w:val="0"/>
              <w:spacing w:before="0" w:after="283"/>
              <w:jc w:val="start"/>
              <w:rPr/>
            </w:pPr>
            <w:r>
              <w:rPr/>
              <w:t xml:space="preserve">0. 667 </w:t>
            </w:r>
          </w:p>
        </w:tc>
        <w:tc>
          <w:tcPr>
            <w:tcW w:w="928" w:type="dxa"/>
            <w:tcBorders/>
            <w:vAlign w:val="center"/>
          </w:tcPr>
          <w:p>
            <w:pPr>
              <w:pStyle w:val="TableContents"/>
              <w:bidi w:val="0"/>
              <w:spacing w:before="0" w:after="283"/>
              <w:jc w:val="start"/>
              <w:rPr/>
            </w:pPr>
            <w:r>
              <w:rPr/>
              <w:t xml:space="preserve">0. 227-1. 959 </w:t>
            </w:r>
          </w:p>
        </w:tc>
        <w:tc>
          <w:tcPr>
            <w:tcW w:w="533" w:type="dxa"/>
            <w:tcBorders/>
            <w:vAlign w:val="center"/>
          </w:tcPr>
          <w:p>
            <w:pPr>
              <w:pStyle w:val="TableContents"/>
              <w:bidi w:val="0"/>
              <w:spacing w:before="0" w:after="283"/>
              <w:jc w:val="start"/>
              <w:rPr/>
            </w:pPr>
            <w:r>
              <w:rPr/>
              <w:t xml:space="preserve">90 </w:t>
            </w:r>
          </w:p>
        </w:tc>
      </w:tr>
      <w:tr>
        <w:trPr/>
        <w:tc>
          <w:tcPr>
            <w:tcW w:w="1295" w:type="dxa"/>
            <w:tcBorders/>
            <w:vAlign w:val="center"/>
          </w:tcPr>
          <w:p>
            <w:pPr>
              <w:pStyle w:val="TableContents"/>
              <w:bidi w:val="0"/>
              <w:spacing w:before="0" w:after="283"/>
              <w:jc w:val="start"/>
              <w:rPr/>
            </w:pPr>
            <w:r>
              <w:rPr>
                <w:rStyle w:val="Emphasis"/>
              </w:rPr>
              <w:t xml:space="preserve">cagL/cagG/orf17 </w:t>
            </w:r>
          </w:p>
        </w:tc>
        <w:tc>
          <w:tcPr>
            <w:tcW w:w="1008" w:type="dxa"/>
            <w:tcBorders/>
            <w:vAlign w:val="center"/>
          </w:tcPr>
          <w:p>
            <w:pPr>
              <w:pStyle w:val="TableContents"/>
              <w:bidi w:val="0"/>
              <w:spacing w:before="0" w:after="283"/>
              <w:jc w:val="start"/>
              <w:rPr/>
            </w:pPr>
            <w:r>
              <w:rPr/>
              <w:t xml:space="preserve">19/23 (82. 6) </w:t>
            </w:r>
          </w:p>
        </w:tc>
        <w:tc>
          <w:tcPr>
            <w:tcW w:w="976" w:type="dxa"/>
            <w:tcBorders/>
            <w:vAlign w:val="center"/>
          </w:tcPr>
          <w:p>
            <w:pPr>
              <w:pStyle w:val="TableContents"/>
              <w:bidi w:val="0"/>
              <w:spacing w:before="0" w:after="283"/>
              <w:jc w:val="start"/>
              <w:rPr/>
            </w:pPr>
            <w:r>
              <w:rPr/>
              <w:t xml:space="preserve">67/75 (89. 3) </w:t>
            </w:r>
          </w:p>
        </w:tc>
        <w:tc>
          <w:tcPr>
            <w:tcW w:w="556" w:type="dxa"/>
            <w:tcBorders/>
            <w:vAlign w:val="center"/>
          </w:tcPr>
          <w:p>
            <w:pPr>
              <w:pStyle w:val="TableContents"/>
              <w:bidi w:val="0"/>
              <w:spacing w:before="0" w:after="283"/>
              <w:jc w:val="start"/>
              <w:rPr/>
            </w:pPr>
            <w:r>
              <w:rPr/>
              <w:t xml:space="preserve">0. 394 </w:t>
            </w:r>
          </w:p>
        </w:tc>
        <w:tc>
          <w:tcPr>
            <w:tcW w:w="556" w:type="dxa"/>
            <w:tcBorders/>
            <w:vAlign w:val="center"/>
          </w:tcPr>
          <w:p>
            <w:pPr>
              <w:pStyle w:val="TableContents"/>
              <w:bidi w:val="0"/>
              <w:spacing w:before="0" w:after="283"/>
              <w:jc w:val="start"/>
              <w:rPr/>
            </w:pPr>
            <w:r>
              <w:rPr/>
              <w:t xml:space="preserve">0. 567 </w:t>
            </w:r>
          </w:p>
        </w:tc>
        <w:tc>
          <w:tcPr>
            <w:tcW w:w="928" w:type="dxa"/>
            <w:tcBorders/>
            <w:vAlign w:val="center"/>
          </w:tcPr>
          <w:p>
            <w:pPr>
              <w:pStyle w:val="TableContents"/>
              <w:bidi w:val="0"/>
              <w:spacing w:before="0" w:after="283"/>
              <w:jc w:val="start"/>
              <w:rPr/>
            </w:pPr>
            <w:r>
              <w:rPr/>
              <w:t xml:space="preserve">0. 154-2. 089 </w:t>
            </w:r>
          </w:p>
        </w:tc>
        <w:tc>
          <w:tcPr>
            <w:tcW w:w="533" w:type="dxa"/>
            <w:tcBorders/>
            <w:vAlign w:val="center"/>
          </w:tcPr>
          <w:p>
            <w:pPr>
              <w:pStyle w:val="TableContents"/>
              <w:bidi w:val="0"/>
              <w:spacing w:before="0" w:after="283"/>
              <w:jc w:val="start"/>
              <w:rPr/>
            </w:pPr>
            <w:r>
              <w:rPr/>
              <w:t xml:space="preserve">86 </w:t>
            </w:r>
          </w:p>
        </w:tc>
      </w:tr>
      <w:tr>
        <w:trPr/>
        <w:tc>
          <w:tcPr>
            <w:tcW w:w="1295" w:type="dxa"/>
            <w:tcBorders/>
            <w:vAlign w:val="center"/>
          </w:tcPr>
          <w:p>
            <w:pPr>
              <w:pStyle w:val="TableContents"/>
              <w:bidi w:val="0"/>
              <w:spacing w:before="0" w:after="283"/>
              <w:jc w:val="start"/>
              <w:rPr>
                <w:sz w:val="4"/>
                <w:szCs w:val="4"/>
              </w:rPr>
            </w:pPr>
            <w:r>
              <w:rPr>
                <w:sz w:val="4"/>
                <w:szCs w:val="4"/>
              </w:rPr>
            </w:r>
          </w:p>
        </w:tc>
        <w:tc>
          <w:tcPr>
            <w:tcW w:w="1008"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928" w:type="dxa"/>
            <w:tcBorders/>
            <w:vAlign w:val="center"/>
          </w:tcPr>
          <w:p>
            <w:pPr>
              <w:pStyle w:val="TableContents"/>
              <w:bidi w:val="0"/>
              <w:spacing w:before="0" w:after="283"/>
              <w:jc w:val="start"/>
              <w:rPr>
                <w:sz w:val="4"/>
                <w:szCs w:val="4"/>
              </w:rPr>
            </w:pPr>
            <w:r>
              <w:rPr>
                <w:sz w:val="4"/>
                <w:szCs w:val="4"/>
              </w:rPr>
            </w:r>
          </w:p>
        </w:tc>
        <w:tc>
          <w:tcPr>
            <w:tcW w:w="533" w:type="dxa"/>
            <w:tcBorders/>
            <w:vAlign w:val="center"/>
          </w:tcPr>
          <w:p>
            <w:pPr>
              <w:pStyle w:val="TableContents"/>
              <w:bidi w:val="0"/>
              <w:spacing w:before="0" w:after="283"/>
              <w:jc w:val="start"/>
              <w:rPr>
                <w:sz w:val="4"/>
                <w:szCs w:val="4"/>
              </w:rPr>
            </w:pPr>
            <w:r>
              <w:rPr>
                <w:sz w:val="4"/>
                <w:szCs w:val="4"/>
              </w:rPr>
            </w:r>
          </w:p>
        </w:tc>
      </w:tr>
    </w:tbl>
    <w:tbl>
      <w:tblPr>
        <w:tblW w:w="5852" w:type="dxa"/>
        <w:jc w:val="start"/>
        <w:tblInd w:w="0" w:type="dxa"/>
        <w:tblLayout w:type="fixed"/>
        <w:tblCellMar>
          <w:top w:w="28" w:type="dxa"/>
          <w:start w:w="28" w:type="dxa"/>
          <w:bottom w:w="28" w:type="dxa"/>
          <w:end w:w="28" w:type="dxa"/>
        </w:tblCellMar>
      </w:tblPr>
      <w:tblGrid>
        <w:gridCol w:w="3642"/>
        <w:gridCol w:w="2210"/>
      </w:tblGrid>
      <w:tr>
        <w:trPr/>
        <w:tc>
          <w:tcPr>
            <w:tcW w:w="3642" w:type="dxa"/>
            <w:tcBorders/>
            <w:vAlign w:val="center"/>
          </w:tcPr>
          <w:p>
            <w:pPr>
              <w:pStyle w:val="TableContents"/>
              <w:bidi w:val="0"/>
              <w:spacing w:before="0" w:after="283"/>
              <w:jc w:val="start"/>
              <w:rPr/>
            </w:pPr>
            <w:r>
              <w:rPr/>
              <w:t xml:space="preserve">Characteristics </w:t>
            </w:r>
          </w:p>
        </w:tc>
        <w:tc>
          <w:tcPr>
            <w:tcW w:w="2210" w:type="dxa"/>
            <w:tcBorders/>
            <w:vAlign w:val="center"/>
          </w:tcPr>
          <w:p>
            <w:pPr>
              <w:pStyle w:val="TableContents"/>
              <w:bidi w:val="0"/>
              <w:spacing w:before="0" w:after="283"/>
              <w:jc w:val="start"/>
              <w:rPr/>
            </w:pPr>
            <w:r>
              <w:rPr/>
              <w:t xml:space="preserve">Total frequency N (%) </w:t>
            </w:r>
          </w:p>
        </w:tc>
      </w:tr>
      <w:tr>
        <w:trPr/>
        <w:tc>
          <w:tcPr>
            <w:tcW w:w="3642" w:type="dxa"/>
            <w:tcBorders/>
            <w:vAlign w:val="center"/>
          </w:tcPr>
          <w:p>
            <w:pPr>
              <w:pStyle w:val="TableContents"/>
              <w:bidi w:val="0"/>
              <w:jc w:val="start"/>
              <w:rPr/>
            </w:pPr>
            <w:r>
              <w:rPr/>
              <w:t xml:space="preserve">Age </w:t>
            </w:r>
          </w:p>
          <w:p>
            <w:pPr>
              <w:pStyle w:val="TableContents"/>
              <w:bidi w:val="0"/>
              <w:jc w:val="start"/>
              <w:rPr/>
            </w:pPr>
            <w:r>
              <w:rPr/>
              <w:t xml:space="preserve">&lt;55 </w:t>
            </w:r>
          </w:p>
          <w:p>
            <w:pPr>
              <w:pStyle w:val="TableContents"/>
              <w:bidi w:val="0"/>
              <w:spacing w:before="0" w:after="283"/>
              <w:jc w:val="start"/>
              <w:rPr/>
            </w:pPr>
            <w:r>
              <w:rPr/>
              <w:t xml:space="preserve">&gt;= 55 </w:t>
            </w:r>
          </w:p>
        </w:tc>
        <w:tc>
          <w:tcPr>
            <w:tcW w:w="2210" w:type="dxa"/>
            <w:tcBorders/>
            <w:vAlign w:val="center"/>
          </w:tcPr>
          <w:p>
            <w:pPr>
              <w:pStyle w:val="TableContents"/>
              <w:bidi w:val="0"/>
              <w:jc w:val="start"/>
              <w:rPr/>
            </w:pPr>
            <w:r>
              <w:rPr/>
              <w:t xml:space="preserve">150/241 (62) </w:t>
            </w:r>
          </w:p>
          <w:p>
            <w:pPr>
              <w:pStyle w:val="TableContents"/>
              <w:bidi w:val="0"/>
              <w:spacing w:before="0" w:after="283"/>
              <w:jc w:val="start"/>
              <w:rPr/>
            </w:pPr>
            <w:r>
              <w:rPr/>
              <w:t xml:space="preserve">91/241 (37. 6) </w:t>
            </w:r>
          </w:p>
        </w:tc>
      </w:tr>
      <w:tr>
        <w:trPr/>
        <w:tc>
          <w:tcPr>
            <w:tcW w:w="3642" w:type="dxa"/>
            <w:tcBorders/>
            <w:vAlign w:val="center"/>
          </w:tcPr>
          <w:p>
            <w:pPr>
              <w:pStyle w:val="TableContents"/>
              <w:bidi w:val="0"/>
              <w:jc w:val="start"/>
              <w:rPr/>
            </w:pPr>
            <w:r>
              <w:rPr/>
              <w:t xml:space="preserve">Sex </w:t>
            </w:r>
          </w:p>
          <w:p>
            <w:pPr>
              <w:pStyle w:val="TableContents"/>
              <w:bidi w:val="0"/>
              <w:jc w:val="start"/>
              <w:rPr/>
            </w:pPr>
            <w:r>
              <w:rPr/>
              <w:t xml:space="preserve">Female = 0 </w:t>
            </w:r>
          </w:p>
          <w:p>
            <w:pPr>
              <w:pStyle w:val="TableContents"/>
              <w:bidi w:val="0"/>
              <w:spacing w:before="0" w:after="283"/>
              <w:jc w:val="start"/>
              <w:rPr/>
            </w:pPr>
            <w:r>
              <w:rPr/>
              <w:t xml:space="preserve">Male = 1 </w:t>
            </w:r>
          </w:p>
        </w:tc>
        <w:tc>
          <w:tcPr>
            <w:tcW w:w="2210" w:type="dxa"/>
            <w:tcBorders/>
            <w:vAlign w:val="center"/>
          </w:tcPr>
          <w:p>
            <w:pPr>
              <w:pStyle w:val="TableContents"/>
              <w:bidi w:val="0"/>
              <w:jc w:val="start"/>
              <w:rPr/>
            </w:pPr>
            <w:r>
              <w:rPr/>
              <w:t xml:space="preserve">98/242 (40. 5) </w:t>
            </w:r>
          </w:p>
          <w:p>
            <w:pPr>
              <w:pStyle w:val="TableContents"/>
              <w:bidi w:val="0"/>
              <w:spacing w:before="0" w:after="283"/>
              <w:jc w:val="start"/>
              <w:rPr/>
            </w:pPr>
            <w:r>
              <w:rPr/>
              <w:t xml:space="preserve">144/242 (59. 5) </w:t>
            </w:r>
          </w:p>
        </w:tc>
      </w:tr>
      <w:tr>
        <w:trPr/>
        <w:tc>
          <w:tcPr>
            <w:tcW w:w="3642" w:type="dxa"/>
            <w:tcBorders/>
            <w:vAlign w:val="center"/>
          </w:tcPr>
          <w:p>
            <w:pPr>
              <w:pStyle w:val="TableContents"/>
              <w:bidi w:val="0"/>
              <w:spacing w:before="0" w:after="283"/>
              <w:jc w:val="start"/>
              <w:rPr/>
            </w:pPr>
            <w:r>
              <w:rPr/>
              <w:t xml:space="preserve">Non-atrophic gastritis </w:t>
            </w:r>
          </w:p>
        </w:tc>
        <w:tc>
          <w:tcPr>
            <w:tcW w:w="2210" w:type="dxa"/>
            <w:tcBorders/>
            <w:vAlign w:val="center"/>
          </w:tcPr>
          <w:p>
            <w:pPr>
              <w:pStyle w:val="TableContents"/>
              <w:bidi w:val="0"/>
              <w:spacing w:before="0" w:after="283"/>
              <w:jc w:val="start"/>
              <w:rPr/>
            </w:pPr>
            <w:r>
              <w:rPr/>
              <w:t xml:space="preserve">146/242 (60. 3) </w:t>
            </w:r>
          </w:p>
        </w:tc>
      </w:tr>
      <w:tr>
        <w:trPr/>
        <w:tc>
          <w:tcPr>
            <w:tcW w:w="3642" w:type="dxa"/>
            <w:tcBorders/>
            <w:vAlign w:val="center"/>
          </w:tcPr>
          <w:p>
            <w:pPr>
              <w:pStyle w:val="TableContents"/>
              <w:bidi w:val="0"/>
              <w:jc w:val="start"/>
              <w:rPr/>
            </w:pPr>
            <w:r>
              <w:rPr/>
              <w:t xml:space="preserve">Peptic ulcer </w:t>
            </w:r>
          </w:p>
          <w:p>
            <w:pPr>
              <w:pStyle w:val="TableContents"/>
              <w:bidi w:val="0"/>
              <w:jc w:val="start"/>
              <w:rPr/>
            </w:pPr>
            <w:r>
              <w:rPr/>
              <w:t xml:space="preserve">Duodenal ulcer </w:t>
            </w:r>
          </w:p>
          <w:p>
            <w:pPr>
              <w:pStyle w:val="TableContents"/>
              <w:bidi w:val="0"/>
              <w:spacing w:before="0" w:after="283"/>
              <w:jc w:val="start"/>
              <w:rPr/>
            </w:pPr>
            <w:r>
              <w:rPr/>
              <w:t xml:space="preserve">Gastric ulcer </w:t>
            </w:r>
          </w:p>
        </w:tc>
        <w:tc>
          <w:tcPr>
            <w:tcW w:w="2210" w:type="dxa"/>
            <w:tcBorders/>
            <w:vAlign w:val="center"/>
          </w:tcPr>
          <w:p>
            <w:pPr>
              <w:pStyle w:val="TableContents"/>
              <w:bidi w:val="0"/>
              <w:jc w:val="start"/>
              <w:rPr/>
            </w:pPr>
            <w:r>
              <w:rPr/>
              <w:t xml:space="preserve">54/242 (22. 3) </w:t>
            </w:r>
          </w:p>
          <w:p>
            <w:pPr>
              <w:pStyle w:val="TableContents"/>
              <w:bidi w:val="0"/>
              <w:jc w:val="start"/>
              <w:rPr/>
            </w:pPr>
            <w:r>
              <w:rPr/>
              <w:t xml:space="preserve">28/54 (51. 8) </w:t>
            </w:r>
          </w:p>
          <w:p>
            <w:pPr>
              <w:pStyle w:val="TableContents"/>
              <w:bidi w:val="0"/>
              <w:spacing w:before="0" w:after="283"/>
              <w:jc w:val="start"/>
              <w:rPr/>
            </w:pPr>
            <w:r>
              <w:rPr/>
              <w:t xml:space="preserve">20/54 (37. 03) </w:t>
            </w:r>
          </w:p>
        </w:tc>
      </w:tr>
      <w:tr>
        <w:trPr/>
        <w:tc>
          <w:tcPr>
            <w:tcW w:w="3642" w:type="dxa"/>
            <w:tcBorders/>
            <w:vAlign w:val="center"/>
          </w:tcPr>
          <w:p>
            <w:pPr>
              <w:pStyle w:val="TableContents"/>
              <w:bidi w:val="0"/>
              <w:jc w:val="start"/>
              <w:rPr/>
            </w:pPr>
            <w:r>
              <w:rPr/>
              <w:t xml:space="preserve">Gastric cancer </w:t>
            </w:r>
          </w:p>
          <w:p>
            <w:pPr>
              <w:pStyle w:val="TableContents"/>
              <w:bidi w:val="0"/>
              <w:jc w:val="start"/>
              <w:rPr/>
            </w:pPr>
            <w:r>
              <w:rPr/>
              <w:t xml:space="preserve">Cardia cancer </w:t>
            </w:r>
          </w:p>
          <w:p>
            <w:pPr>
              <w:pStyle w:val="TableContents"/>
              <w:bidi w:val="0"/>
              <w:jc w:val="start"/>
              <w:rPr/>
            </w:pPr>
            <w:r>
              <w:rPr/>
              <w:t xml:space="preserve">Non-cardia cancer </w:t>
            </w:r>
          </w:p>
          <w:p>
            <w:pPr>
              <w:pStyle w:val="TableContents"/>
              <w:bidi w:val="0"/>
              <w:jc w:val="start"/>
              <w:rPr/>
            </w:pPr>
            <w:r>
              <w:rPr/>
              <w:t xml:space="preserve">Intestinal-type adenocarcinoma </w:t>
            </w:r>
          </w:p>
          <w:p>
            <w:pPr>
              <w:pStyle w:val="TableContents"/>
              <w:bidi w:val="0"/>
              <w:jc w:val="start"/>
              <w:rPr/>
            </w:pPr>
            <w:r>
              <w:rPr/>
              <w:t xml:space="preserve">Diffuse-type adenocarcinoma </w:t>
            </w:r>
          </w:p>
          <w:p>
            <w:pPr>
              <w:pStyle w:val="TableContents"/>
              <w:bidi w:val="0"/>
              <w:jc w:val="start"/>
              <w:rPr/>
            </w:pPr>
            <w:r>
              <w:rPr/>
              <w:t xml:space="preserve">Mucin producing-type adenocarcinoma </w:t>
            </w:r>
          </w:p>
          <w:p>
            <w:pPr>
              <w:pStyle w:val="TableContents"/>
              <w:bidi w:val="0"/>
              <w:spacing w:before="0" w:after="283"/>
              <w:jc w:val="start"/>
              <w:rPr/>
            </w:pPr>
            <w:r>
              <w:rPr/>
              <w:t xml:space="preserve">Invasive squamous cell-type carcinoma </w:t>
            </w:r>
          </w:p>
        </w:tc>
        <w:tc>
          <w:tcPr>
            <w:tcW w:w="2210" w:type="dxa"/>
            <w:tcBorders/>
            <w:vAlign w:val="center"/>
          </w:tcPr>
          <w:p>
            <w:pPr>
              <w:pStyle w:val="TableContents"/>
              <w:bidi w:val="0"/>
              <w:jc w:val="start"/>
              <w:rPr/>
            </w:pPr>
            <w:r>
              <w:rPr/>
              <w:t xml:space="preserve">42/242 (17. 4) </w:t>
            </w:r>
          </w:p>
          <w:p>
            <w:pPr>
              <w:pStyle w:val="TableContents"/>
              <w:bidi w:val="0"/>
              <w:jc w:val="start"/>
              <w:rPr/>
            </w:pPr>
            <w:r>
              <w:rPr/>
              <w:t xml:space="preserve">18/42 (42. 85) </w:t>
            </w:r>
          </w:p>
          <w:p>
            <w:pPr>
              <w:pStyle w:val="TableContents"/>
              <w:bidi w:val="0"/>
              <w:jc w:val="start"/>
              <w:rPr/>
            </w:pPr>
            <w:r>
              <w:rPr/>
              <w:t xml:space="preserve">24/42 (57. 14) </w:t>
            </w:r>
          </w:p>
          <w:p>
            <w:pPr>
              <w:pStyle w:val="TableContents"/>
              <w:bidi w:val="0"/>
              <w:jc w:val="start"/>
              <w:rPr/>
            </w:pPr>
            <w:r>
              <w:rPr/>
              <w:t xml:space="preserve">24/42 (57. 14) </w:t>
            </w:r>
          </w:p>
          <w:p>
            <w:pPr>
              <w:pStyle w:val="TableContents"/>
              <w:bidi w:val="0"/>
              <w:jc w:val="start"/>
              <w:rPr/>
            </w:pPr>
            <w:r>
              <w:rPr/>
              <w:t xml:space="preserve">16/42 (38. 09) </w:t>
            </w:r>
          </w:p>
          <w:p>
            <w:pPr>
              <w:pStyle w:val="TableContents"/>
              <w:bidi w:val="0"/>
              <w:jc w:val="start"/>
              <w:rPr/>
            </w:pPr>
            <w:r>
              <w:rPr/>
              <w:t xml:space="preserve">1/42 (2. 38) </w:t>
            </w:r>
          </w:p>
          <w:p>
            <w:pPr>
              <w:pStyle w:val="TableContents"/>
              <w:bidi w:val="0"/>
              <w:spacing w:before="0" w:after="283"/>
              <w:jc w:val="start"/>
              <w:rPr/>
            </w:pPr>
            <w:r>
              <w:rPr/>
              <w:t xml:space="preserve">1/42 (2. 38) </w:t>
            </w:r>
          </w:p>
        </w:tc>
      </w:tr>
    </w:tbl>
    <w:tbl>
      <w:tblPr>
        <w:tblW w:w="5852" w:type="dxa"/>
        <w:jc w:val="start"/>
        <w:tblInd w:w="0" w:type="dxa"/>
        <w:tblLayout w:type="fixed"/>
        <w:tblCellMar>
          <w:top w:w="28" w:type="dxa"/>
          <w:start w:w="28" w:type="dxa"/>
          <w:bottom w:w="28" w:type="dxa"/>
          <w:end w:w="28" w:type="dxa"/>
        </w:tblCellMar>
      </w:tblPr>
      <w:tblGrid>
        <w:gridCol w:w="931"/>
        <w:gridCol w:w="4921"/>
      </w:tblGrid>
      <w:tr>
        <w:trPr/>
        <w:tc>
          <w:tcPr>
            <w:tcW w:w="931" w:type="dxa"/>
            <w:tcBorders/>
            <w:vAlign w:val="center"/>
          </w:tcPr>
          <w:p>
            <w:pPr>
              <w:pStyle w:val="TableContents"/>
              <w:bidi w:val="0"/>
              <w:spacing w:before="0" w:after="283"/>
              <w:jc w:val="start"/>
              <w:rPr/>
            </w:pPr>
            <w:r>
              <w:rPr/>
              <w:t xml:space="preserve">Gene and Primer </w:t>
            </w:r>
          </w:p>
        </w:tc>
        <w:tc>
          <w:tcPr>
            <w:tcW w:w="4921" w:type="dxa"/>
            <w:tcBorders/>
            <w:vAlign w:val="center"/>
          </w:tcPr>
          <w:p>
            <w:pPr>
              <w:pStyle w:val="TableContents"/>
              <w:bidi w:val="0"/>
              <w:spacing w:before="0" w:after="283"/>
              <w:jc w:val="start"/>
              <w:rPr/>
            </w:pPr>
            <w:r>
              <w:rPr/>
              <w:t xml:space="preserve">Sequences (5á¿½- 3á¿½) </w:t>
            </w:r>
          </w:p>
        </w:tc>
      </w:tr>
      <w:tr>
        <w:trPr/>
        <w:tc>
          <w:tcPr>
            <w:tcW w:w="931" w:type="dxa"/>
            <w:tcBorders/>
            <w:vAlign w:val="center"/>
          </w:tcPr>
          <w:p>
            <w:pPr>
              <w:pStyle w:val="TableContents"/>
              <w:bidi w:val="0"/>
              <w:jc w:val="start"/>
              <w:rPr/>
            </w:pPr>
            <w:r>
              <w:rPr>
                <w:rStyle w:val="Emphasis"/>
              </w:rPr>
              <w:t xml:space="preserve">cagH </w:t>
            </w:r>
          </w:p>
          <w:p>
            <w:pPr>
              <w:pStyle w:val="TableContents"/>
              <w:bidi w:val="0"/>
              <w:jc w:val="start"/>
              <w:rPr/>
            </w:pPr>
            <w:r>
              <w:rPr/>
              <w:t xml:space="preserve">CagH-F </w:t>
            </w:r>
          </w:p>
          <w:p>
            <w:pPr>
              <w:pStyle w:val="TableContents"/>
              <w:bidi w:val="0"/>
              <w:spacing w:before="0" w:after="283"/>
              <w:jc w:val="start"/>
              <w:rPr/>
            </w:pPr>
            <w:r>
              <w:rPr/>
              <w:t xml:space="preserve">CagH-R </w:t>
            </w:r>
          </w:p>
        </w:tc>
        <w:tc>
          <w:tcPr>
            <w:tcW w:w="4921" w:type="dxa"/>
            <w:tcBorders/>
            <w:vAlign w:val="center"/>
          </w:tcPr>
          <w:p>
            <w:pPr>
              <w:pStyle w:val="TableContents"/>
              <w:bidi w:val="0"/>
              <w:jc w:val="start"/>
              <w:rPr/>
            </w:pPr>
            <w:r>
              <w:rPr/>
              <w:t xml:space="preserve">5á¿½-ATGGCAGGTACACAAGCTAT-3á¿½ </w:t>
            </w:r>
          </w:p>
          <w:p>
            <w:pPr>
              <w:pStyle w:val="TableContents"/>
              <w:bidi w:val="0"/>
              <w:spacing w:before="0" w:after="283"/>
              <w:jc w:val="start"/>
              <w:rPr/>
            </w:pPr>
            <w:r>
              <w:rPr/>
              <w:t xml:space="preserve">5á¿½-TCACTTCACGATTATTTTAG-3á¿½ </w:t>
            </w:r>
          </w:p>
        </w:tc>
      </w:tr>
      <w:tr>
        <w:trPr/>
        <w:tc>
          <w:tcPr>
            <w:tcW w:w="931" w:type="dxa"/>
            <w:tcBorders/>
            <w:vAlign w:val="center"/>
          </w:tcPr>
          <w:p>
            <w:pPr>
              <w:pStyle w:val="TableContents"/>
              <w:bidi w:val="0"/>
              <w:jc w:val="start"/>
              <w:rPr/>
            </w:pPr>
            <w:r>
              <w:rPr>
                <w:rStyle w:val="Emphasis"/>
              </w:rPr>
              <w:t xml:space="preserve">cagL </w:t>
            </w:r>
          </w:p>
          <w:p>
            <w:pPr>
              <w:pStyle w:val="TableContents"/>
              <w:bidi w:val="0"/>
              <w:jc w:val="start"/>
              <w:rPr/>
            </w:pPr>
            <w:r>
              <w:rPr/>
              <w:t xml:space="preserve">CagL-15 </w:t>
            </w:r>
          </w:p>
          <w:p>
            <w:pPr>
              <w:pStyle w:val="TableContents"/>
              <w:bidi w:val="0"/>
              <w:spacing w:before="0" w:after="283"/>
              <w:jc w:val="start"/>
              <w:rPr/>
            </w:pPr>
            <w:r>
              <w:rPr/>
              <w:t xml:space="preserve">CagL-16 </w:t>
            </w:r>
          </w:p>
        </w:tc>
        <w:tc>
          <w:tcPr>
            <w:tcW w:w="4921" w:type="dxa"/>
            <w:tcBorders/>
            <w:vAlign w:val="center"/>
          </w:tcPr>
          <w:p>
            <w:pPr>
              <w:pStyle w:val="TableContents"/>
              <w:bidi w:val="0"/>
              <w:jc w:val="start"/>
              <w:rPr/>
            </w:pPr>
            <w:r>
              <w:rPr/>
              <w:t xml:space="preserve">5á¿½-AAAACACTCGTGAAAAATACCATATC-3á¿½ </w:t>
            </w:r>
          </w:p>
          <w:p>
            <w:pPr>
              <w:pStyle w:val="TableContents"/>
              <w:bidi w:val="0"/>
              <w:spacing w:before="0" w:after="283"/>
              <w:jc w:val="start"/>
              <w:rPr/>
            </w:pPr>
            <w:r>
              <w:rPr/>
              <w:t xml:space="preserve">5á¿½-TCGCTTCAAAATTGGCTTTC-3á¿½ </w:t>
            </w:r>
          </w:p>
        </w:tc>
      </w:tr>
      <w:tr>
        <w:trPr/>
        <w:tc>
          <w:tcPr>
            <w:tcW w:w="931" w:type="dxa"/>
            <w:tcBorders/>
            <w:vAlign w:val="center"/>
          </w:tcPr>
          <w:p>
            <w:pPr>
              <w:pStyle w:val="TableContents"/>
              <w:bidi w:val="0"/>
              <w:jc w:val="start"/>
              <w:rPr/>
            </w:pPr>
            <w:r>
              <w:rPr>
                <w:rStyle w:val="Emphasis"/>
              </w:rPr>
              <w:t xml:space="preserve">cagG </w:t>
            </w:r>
          </w:p>
          <w:p>
            <w:pPr>
              <w:pStyle w:val="TableContents"/>
              <w:bidi w:val="0"/>
              <w:jc w:val="start"/>
              <w:rPr/>
            </w:pPr>
            <w:r>
              <w:rPr/>
              <w:t xml:space="preserve">CagG-F </w:t>
            </w:r>
          </w:p>
          <w:p>
            <w:pPr>
              <w:pStyle w:val="TableContents"/>
              <w:bidi w:val="0"/>
              <w:spacing w:before="0" w:after="283"/>
              <w:jc w:val="start"/>
              <w:rPr/>
            </w:pPr>
            <w:r>
              <w:rPr/>
              <w:t xml:space="preserve">CagG-R </w:t>
            </w:r>
          </w:p>
        </w:tc>
        <w:tc>
          <w:tcPr>
            <w:tcW w:w="4921" w:type="dxa"/>
            <w:tcBorders/>
            <w:vAlign w:val="center"/>
          </w:tcPr>
          <w:p>
            <w:pPr>
              <w:pStyle w:val="TableContents"/>
              <w:bidi w:val="0"/>
              <w:jc w:val="start"/>
              <w:rPr/>
            </w:pPr>
            <w:r>
              <w:rPr/>
              <w:t xml:space="preserve">5á¿½-TTATAAAATTAAATTACTATTTGC-3á¿½ </w:t>
            </w:r>
          </w:p>
          <w:p>
            <w:pPr>
              <w:pStyle w:val="TableContents"/>
              <w:bidi w:val="0"/>
              <w:spacing w:before="0" w:after="283"/>
              <w:jc w:val="start"/>
              <w:rPr/>
            </w:pPr>
            <w:r>
              <w:rPr/>
              <w:t xml:space="preserve">5á¿½-GTGGTAAAAACGATGAATCTG-3á¿½ </w:t>
            </w:r>
          </w:p>
        </w:tc>
      </w:tr>
      <w:tr>
        <w:trPr/>
        <w:tc>
          <w:tcPr>
            <w:tcW w:w="931" w:type="dxa"/>
            <w:tcBorders/>
            <w:vAlign w:val="center"/>
          </w:tcPr>
          <w:p>
            <w:pPr>
              <w:pStyle w:val="TableContents"/>
              <w:bidi w:val="0"/>
              <w:jc w:val="start"/>
              <w:rPr/>
            </w:pPr>
            <w:r>
              <w:rPr>
                <w:rStyle w:val="Emphasis"/>
              </w:rPr>
              <w:t xml:space="preserve">orf17 </w:t>
            </w:r>
          </w:p>
          <w:p>
            <w:pPr>
              <w:pStyle w:val="TableContents"/>
              <w:bidi w:val="0"/>
              <w:jc w:val="start"/>
              <w:rPr/>
            </w:pPr>
            <w:r>
              <w:rPr/>
              <w:t xml:space="preserve">Orf17-F </w:t>
            </w:r>
          </w:p>
          <w:p>
            <w:pPr>
              <w:pStyle w:val="TableContents"/>
              <w:bidi w:val="0"/>
              <w:spacing w:before="0" w:after="283"/>
              <w:jc w:val="start"/>
              <w:rPr/>
            </w:pPr>
            <w:r>
              <w:rPr/>
              <w:t xml:space="preserve">Orf17-R </w:t>
            </w:r>
          </w:p>
        </w:tc>
        <w:tc>
          <w:tcPr>
            <w:tcW w:w="4921" w:type="dxa"/>
            <w:tcBorders/>
            <w:vAlign w:val="center"/>
          </w:tcPr>
          <w:p>
            <w:pPr>
              <w:pStyle w:val="TableContents"/>
              <w:bidi w:val="0"/>
              <w:jc w:val="start"/>
              <w:rPr/>
            </w:pPr>
            <w:r>
              <w:rPr/>
              <w:t xml:space="preserve">5á¿½-CTTGATTGATGAAAATTTGGTTG-3á¿½ </w:t>
            </w:r>
          </w:p>
          <w:p>
            <w:pPr>
              <w:pStyle w:val="TableContents"/>
              <w:bidi w:val="0"/>
              <w:spacing w:before="0" w:after="283"/>
              <w:jc w:val="start"/>
              <w:rPr/>
            </w:pPr>
            <w:r>
              <w:rPr/>
              <w:t xml:space="preserve">5á¿½-TTAGTGATATATTCATAATTTTCC-3á¿½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https://assignbuster.com/hpylori-virulence-factors-with-gastric-cancer/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H.pylori virulence factors with gastric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ylori-virulence-factors-with-gastric-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H.pylori virulence factors with gastric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H.pylori virulence factors with gastric cancer</dc:title>
  <dc:subject>Others;</dc:subject>
  <dc:creator>AssignBuster</dc:creator>
  <cp:keywords/>
  <dc:description>No association was found between the mentioned genotypes and the risk of GC in Iran; however, cagL and orf17 genotypes were correlated with an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