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Curcumin c21h20o6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Retention Index (Kovats): </w:t>
      </w:r>
    </w:p>
    <w:tbl>
      <w:tblPr>
        <w:tblW w:w="4344" w:type="dxa"/>
        <w:jc w:val="start"/>
        <w:tblInd w:w="0" w:type="dxa"/>
        <w:tblLayout w:type="fixed"/>
        <w:tblCellMar>
          <w:top w:w="28" w:type="dxa"/>
          <w:start w:w="28" w:type="dxa"/>
          <w:bottom w:w="28" w:type="dxa"/>
          <w:end w:w="28" w:type="dxa"/>
        </w:tblCellMar>
      </w:tblPr>
      <w:tblGrid>
        <w:gridCol w:w="1832"/>
        <w:gridCol w:w="2512"/>
      </w:tblGrid>
      <w:tr>
        <w:trPr/>
        <w:tc>
          <w:tcPr>
            <w:tcW w:w="1832" w:type="dxa"/>
            <w:tcBorders/>
            <w:vAlign w:val="center"/>
          </w:tcPr>
          <w:p>
            <w:pPr>
              <w:pStyle w:val="TableContents"/>
              <w:bidi w:val="0"/>
              <w:spacing w:before="0" w:after="283"/>
              <w:jc w:val="start"/>
              <w:rPr/>
            </w:pPr>
            <w:r>
              <w:rPr/>
              <w:t xml:space="preserve">Molecular Formula </w:t>
            </w:r>
          </w:p>
        </w:tc>
        <w:tc>
          <w:tcPr>
            <w:tcW w:w="2512" w:type="dxa"/>
            <w:tcBorders/>
            <w:vAlign w:val="center"/>
          </w:tcPr>
          <w:p>
            <w:pPr>
              <w:pStyle w:val="TableContents"/>
              <w:bidi w:val="0"/>
              <w:spacing w:before="0" w:after="283"/>
              <w:jc w:val="start"/>
              <w:rPr/>
            </w:pPr>
            <w:r>
              <w:rPr/>
              <w:t xml:space="preserve">C </w:t>
            </w:r>
            <w:r>
              <w:rPr>
                <w:position w:val="-2"/>
                <w:sz w:val="19"/>
              </w:rPr>
              <w:t xml:space="preserve">21 </w:t>
            </w:r>
            <w:r>
              <w:rPr/>
              <w:t xml:space="preserve">H </w:t>
            </w:r>
            <w:r>
              <w:rPr>
                <w:position w:val="-2"/>
                <w:sz w:val="19"/>
              </w:rPr>
              <w:t xml:space="preserve">20 </w:t>
            </w:r>
            <w:r>
              <w:rPr/>
              <w:t xml:space="preserve">O </w:t>
            </w:r>
            <w:r>
              <w:rPr>
                <w:position w:val="-2"/>
                <w:sz w:val="19"/>
              </w:rPr>
              <w:t xml:space="preserve">6 </w:t>
            </w:r>
          </w:p>
        </w:tc>
      </w:tr>
      <w:tr>
        <w:trPr/>
        <w:tc>
          <w:tcPr>
            <w:tcW w:w="1832" w:type="dxa"/>
            <w:tcBorders/>
            <w:vAlign w:val="center"/>
          </w:tcPr>
          <w:p>
            <w:pPr>
              <w:pStyle w:val="TableContents"/>
              <w:bidi w:val="0"/>
              <w:spacing w:before="0" w:after="283"/>
              <w:jc w:val="start"/>
              <w:rPr/>
            </w:pPr>
            <w:r>
              <w:rPr/>
              <w:t xml:space="preserve">Average mass </w:t>
            </w:r>
          </w:p>
        </w:tc>
        <w:tc>
          <w:tcPr>
            <w:tcW w:w="2512" w:type="dxa"/>
            <w:tcBorders/>
            <w:vAlign w:val="center"/>
          </w:tcPr>
          <w:p>
            <w:pPr>
              <w:pStyle w:val="TableContents"/>
              <w:bidi w:val="0"/>
              <w:spacing w:before="0" w:after="283"/>
              <w:jc w:val="start"/>
              <w:rPr/>
            </w:pPr>
            <w:r>
              <w:rPr/>
              <w:t xml:space="preserve">368. 380 Da </w:t>
            </w:r>
          </w:p>
        </w:tc>
      </w:tr>
      <w:tr>
        <w:trPr/>
        <w:tc>
          <w:tcPr>
            <w:tcW w:w="1832" w:type="dxa"/>
            <w:tcBorders/>
            <w:vAlign w:val="center"/>
          </w:tcPr>
          <w:p>
            <w:pPr>
              <w:pStyle w:val="TableContents"/>
              <w:bidi w:val="0"/>
              <w:spacing w:before="0" w:after="283"/>
              <w:jc w:val="start"/>
              <w:rPr/>
            </w:pPr>
            <w:r>
              <w:rPr/>
              <w:t xml:space="preserve">Density </w:t>
            </w:r>
          </w:p>
        </w:tc>
        <w:tc>
          <w:tcPr>
            <w:tcW w:w="2512" w:type="dxa"/>
            <w:tcBorders/>
            <w:vAlign w:val="center"/>
          </w:tcPr>
          <w:p>
            <w:pPr>
              <w:pStyle w:val="TableContents"/>
              <w:bidi w:val="0"/>
              <w:spacing w:before="0" w:after="283"/>
              <w:jc w:val="start"/>
              <w:rPr/>
            </w:pPr>
            <w:r>
              <w:rPr/>
              <w:t xml:space="preserve">1. 3±0. 1 g/cm </w:t>
            </w:r>
            <w:r>
              <w:rPr>
                <w:position w:val="8"/>
                <w:sz w:val="19"/>
              </w:rPr>
              <w:t xml:space="preserve">3 </w:t>
            </w:r>
          </w:p>
        </w:tc>
      </w:tr>
      <w:tr>
        <w:trPr/>
        <w:tc>
          <w:tcPr>
            <w:tcW w:w="1832" w:type="dxa"/>
            <w:tcBorders/>
            <w:vAlign w:val="center"/>
          </w:tcPr>
          <w:p>
            <w:pPr>
              <w:pStyle w:val="TableContents"/>
              <w:bidi w:val="0"/>
              <w:spacing w:before="0" w:after="283"/>
              <w:jc w:val="start"/>
              <w:rPr/>
            </w:pPr>
            <w:r>
              <w:rPr/>
              <w:t xml:space="preserve">Boiling Point </w:t>
            </w:r>
          </w:p>
        </w:tc>
        <w:tc>
          <w:tcPr>
            <w:tcW w:w="2512" w:type="dxa"/>
            <w:tcBorders/>
            <w:vAlign w:val="center"/>
          </w:tcPr>
          <w:p>
            <w:pPr>
              <w:pStyle w:val="TableContents"/>
              <w:bidi w:val="0"/>
              <w:spacing w:before="0" w:after="283"/>
              <w:jc w:val="start"/>
              <w:rPr/>
            </w:pPr>
            <w:r>
              <w:rPr/>
              <w:t xml:space="preserve">591. 4±50. 0 °C at 760 mmHg </w:t>
            </w:r>
          </w:p>
        </w:tc>
      </w:tr>
      <w:tr>
        <w:trPr/>
        <w:tc>
          <w:tcPr>
            <w:tcW w:w="1832" w:type="dxa"/>
            <w:tcBorders/>
            <w:vAlign w:val="center"/>
          </w:tcPr>
          <w:p>
            <w:pPr>
              <w:pStyle w:val="TableContents"/>
              <w:bidi w:val="0"/>
              <w:spacing w:before="0" w:after="283"/>
              <w:jc w:val="start"/>
              <w:rPr/>
            </w:pPr>
            <w:r>
              <w:rPr/>
              <w:t xml:space="preserve">Flash Point </w:t>
            </w:r>
          </w:p>
        </w:tc>
        <w:tc>
          <w:tcPr>
            <w:tcW w:w="2512" w:type="dxa"/>
            <w:tcBorders/>
            <w:vAlign w:val="center"/>
          </w:tcPr>
          <w:p>
            <w:pPr>
              <w:pStyle w:val="TableContents"/>
              <w:bidi w:val="0"/>
              <w:spacing w:before="0" w:after="283"/>
              <w:jc w:val="start"/>
              <w:rPr/>
            </w:pPr>
            <w:r>
              <w:rPr/>
              <w:t xml:space="preserve">208. 9±23. 6 °C </w:t>
            </w:r>
          </w:p>
        </w:tc>
      </w:tr>
      <w:tr>
        <w:trPr/>
        <w:tc>
          <w:tcPr>
            <w:tcW w:w="1832" w:type="dxa"/>
            <w:tcBorders/>
            <w:vAlign w:val="center"/>
          </w:tcPr>
          <w:p>
            <w:pPr>
              <w:pStyle w:val="TableContents"/>
              <w:bidi w:val="0"/>
              <w:spacing w:before="0" w:after="283"/>
              <w:jc w:val="start"/>
              <w:rPr/>
            </w:pPr>
            <w:r>
              <w:rPr/>
              <w:t xml:space="preserve">Molar Refractivity </w:t>
            </w:r>
          </w:p>
        </w:tc>
        <w:tc>
          <w:tcPr>
            <w:tcW w:w="2512" w:type="dxa"/>
            <w:tcBorders/>
            <w:vAlign w:val="center"/>
          </w:tcPr>
          <w:p>
            <w:pPr>
              <w:pStyle w:val="TableContents"/>
              <w:bidi w:val="0"/>
              <w:spacing w:before="0" w:after="283"/>
              <w:jc w:val="start"/>
              <w:rPr/>
            </w:pPr>
            <w:r>
              <w:rPr/>
              <w:t xml:space="preserve">104. 0±0. 3 cm </w:t>
            </w:r>
            <w:r>
              <w:rPr>
                <w:position w:val="8"/>
                <w:sz w:val="19"/>
              </w:rPr>
              <w:t xml:space="preserve">3 </w:t>
            </w:r>
          </w:p>
        </w:tc>
      </w:tr>
      <w:tr>
        <w:trPr/>
        <w:tc>
          <w:tcPr>
            <w:tcW w:w="1832" w:type="dxa"/>
            <w:tcBorders/>
            <w:vAlign w:val="center"/>
          </w:tcPr>
          <w:p>
            <w:pPr>
              <w:pStyle w:val="TableContents"/>
              <w:bidi w:val="0"/>
              <w:spacing w:before="0" w:after="283"/>
              <w:jc w:val="start"/>
              <w:rPr/>
            </w:pPr>
            <w:r>
              <w:rPr/>
              <w:t xml:space="preserve">Polarizability </w:t>
            </w:r>
          </w:p>
        </w:tc>
        <w:tc>
          <w:tcPr>
            <w:tcW w:w="2512" w:type="dxa"/>
            <w:tcBorders/>
            <w:vAlign w:val="center"/>
          </w:tcPr>
          <w:p>
            <w:pPr>
              <w:pStyle w:val="TableContents"/>
              <w:bidi w:val="0"/>
              <w:spacing w:before="0" w:after="283"/>
              <w:jc w:val="start"/>
              <w:rPr/>
            </w:pPr>
            <w:r>
              <w:rPr/>
              <w:t xml:space="preserve">41. 2±0. 5 10 </w:t>
            </w:r>
            <w:r>
              <w:rPr>
                <w:position w:val="8"/>
                <w:sz w:val="19"/>
              </w:rPr>
              <w:t xml:space="preserve">-24 </w:t>
            </w:r>
            <w:r>
              <w:rPr/>
              <w:t xml:space="preserve">cm </w:t>
            </w:r>
            <w:r>
              <w:rPr>
                <w:position w:val="8"/>
                <w:sz w:val="19"/>
              </w:rPr>
              <w:t xml:space="preserve">3 </w:t>
            </w:r>
          </w:p>
        </w:tc>
      </w:tr>
      <w:tr>
        <w:trPr/>
        <w:tc>
          <w:tcPr>
            <w:tcW w:w="1832" w:type="dxa"/>
            <w:tcBorders/>
            <w:vAlign w:val="center"/>
          </w:tcPr>
          <w:p>
            <w:pPr>
              <w:pStyle w:val="TableContents"/>
              <w:bidi w:val="0"/>
              <w:spacing w:before="0" w:after="283"/>
              <w:jc w:val="start"/>
              <w:rPr/>
            </w:pPr>
            <w:r>
              <w:rPr/>
              <w:t xml:space="preserve">Surface Tension </w:t>
            </w:r>
          </w:p>
        </w:tc>
        <w:tc>
          <w:tcPr>
            <w:tcW w:w="2512" w:type="dxa"/>
            <w:tcBorders/>
            <w:vAlign w:val="center"/>
          </w:tcPr>
          <w:p>
            <w:pPr>
              <w:pStyle w:val="TableContents"/>
              <w:bidi w:val="0"/>
              <w:spacing w:before="0" w:after="283"/>
              <w:jc w:val="start"/>
              <w:rPr/>
            </w:pPr>
            <w:r>
              <w:rPr/>
              <w:t xml:space="preserve">54. 3±3. 0 dyne/cm </w:t>
            </w:r>
          </w:p>
        </w:tc>
      </w:tr>
      <w:tr>
        <w:trPr/>
        <w:tc>
          <w:tcPr>
            <w:tcW w:w="1832" w:type="dxa"/>
            <w:tcBorders/>
            <w:vAlign w:val="center"/>
          </w:tcPr>
          <w:p>
            <w:pPr>
              <w:pStyle w:val="TableContents"/>
              <w:bidi w:val="0"/>
              <w:spacing w:before="0" w:after="283"/>
              <w:jc w:val="start"/>
              <w:rPr/>
            </w:pPr>
            <w:r>
              <w:rPr/>
              <w:t xml:space="preserve">Molar Volume </w:t>
            </w:r>
          </w:p>
        </w:tc>
        <w:tc>
          <w:tcPr>
            <w:tcW w:w="2512" w:type="dxa"/>
            <w:tcBorders/>
            <w:vAlign w:val="center"/>
          </w:tcPr>
          <w:p>
            <w:pPr>
              <w:pStyle w:val="TableContents"/>
              <w:bidi w:val="0"/>
              <w:spacing w:before="0" w:after="283"/>
              <w:jc w:val="start"/>
              <w:rPr/>
            </w:pPr>
            <w:r>
              <w:rPr/>
              <w:t xml:space="preserve">287. 9±3. 0 cm </w:t>
            </w:r>
            <w:r>
              <w:rPr>
                <w:position w:val="8"/>
                <w:sz w:val="19"/>
              </w:rPr>
              <w:t xml:space="preserve">3 </w:t>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2"/>
        </w:numPr>
        <w:tabs>
          <w:tab w:val="clear" w:pos="1134"/>
          <w:tab w:val="left" w:pos="709" w:leader="none"/>
        </w:tabs>
        <w:bidi w:val="0"/>
        <w:spacing w:before="0" w:after="0"/>
        <w:ind w:start="709" w:hanging="283"/>
        <w:jc w:val="start"/>
        <w:rPr/>
      </w:pPr>
      <w:r>
        <w:rPr/>
        <w:t xml:space="preserve">Predicted – ChemAxon </w:t>
      </w:r>
    </w:p>
    <w:p>
      <w:pPr>
        <w:pStyle w:val="TextBody"/>
        <w:numPr>
          <w:ilvl w:val="0"/>
          <w:numId w:val="2"/>
        </w:numPr>
        <w:tabs>
          <w:tab w:val="clear" w:pos="1134"/>
          <w:tab w:val="left" w:pos="709" w:leader="none"/>
        </w:tabs>
        <w:bidi w:val="0"/>
        <w:ind w:start="709" w:hanging="283"/>
        <w:jc w:val="start"/>
        <w:rPr/>
      </w:pPr>
      <w:r>
        <w:rPr/>
        <w:t xml:space="preserve">Predicted – Mcule </w:t>
      </w:r>
    </w:p>
    <w:p>
      <w:pPr>
        <w:pStyle w:val="TextBody"/>
        <w:numPr>
          <w:ilvl w:val="0"/>
          <w:numId w:val="3"/>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3"/>
        </w:numPr>
        <w:tabs>
          <w:tab w:val="clear" w:pos="1134"/>
          <w:tab w:val="left" w:pos="1418" w:leader="none"/>
        </w:tabs>
        <w:bidi w:val="0"/>
        <w:ind w:start="1418" w:hanging="283"/>
        <w:jc w:val="start"/>
        <w:rPr/>
      </w:pPr>
      <w:r>
        <w:rPr/>
        <w:t xml:space="preserve">Experimental Melting Point: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183 °CTCIC0434 </w:t>
            </w:r>
          </w:p>
        </w:tc>
      </w:tr>
      <w:tr>
        <w:trPr/>
        <w:tc>
          <w:tcPr>
            <w:tcW w:w="2926" w:type="dxa"/>
            <w:tcBorders/>
            <w:vAlign w:val="center"/>
          </w:tcPr>
          <w:p>
            <w:pPr>
              <w:pStyle w:val="TableContents"/>
              <w:bidi w:val="0"/>
              <w:spacing w:before="0" w:after="283"/>
              <w:jc w:val="start"/>
              <w:rPr/>
            </w:pPr>
            <w:r>
              <w:rPr/>
              <w:t xml:space="preserve">170-175 °CAlfa Aesar </w:t>
            </w:r>
          </w:p>
        </w:tc>
      </w:tr>
      <w:tr>
        <w:trPr/>
        <w:tc>
          <w:tcPr>
            <w:tcW w:w="2926" w:type="dxa"/>
            <w:tcBorders/>
            <w:vAlign w:val="center"/>
          </w:tcPr>
          <w:p>
            <w:pPr>
              <w:pStyle w:val="TableContents"/>
              <w:bidi w:val="0"/>
              <w:spacing w:before="0" w:after="283"/>
              <w:jc w:val="start"/>
              <w:rPr/>
            </w:pPr>
            <w:r>
              <w:rPr/>
              <w:t xml:space="preserve">180 °COxford University Chemical Safety Data (No longer updated)More details </w:t>
            </w:r>
          </w:p>
        </w:tc>
      </w:tr>
      <w:tr>
        <w:trPr/>
        <w:tc>
          <w:tcPr>
            <w:tcW w:w="2926" w:type="dxa"/>
            <w:tcBorders/>
            <w:vAlign w:val="center"/>
          </w:tcPr>
          <w:p>
            <w:pPr>
              <w:pStyle w:val="TableContents"/>
              <w:bidi w:val="0"/>
              <w:spacing w:before="0" w:after="283"/>
              <w:jc w:val="start"/>
              <w:rPr/>
            </w:pPr>
            <w:r>
              <w:rPr/>
              <w:t xml:space="preserve">183 °CLKT Labs[C8069],[C8070] </w:t>
            </w:r>
          </w:p>
        </w:tc>
      </w:tr>
      <w:tr>
        <w:trPr/>
        <w:tc>
          <w:tcPr>
            <w:tcW w:w="2926" w:type="dxa"/>
            <w:tcBorders/>
            <w:vAlign w:val="center"/>
          </w:tcPr>
          <w:p>
            <w:pPr>
              <w:pStyle w:val="TableContents"/>
              <w:bidi w:val="0"/>
              <w:spacing w:before="0" w:after="283"/>
              <w:jc w:val="start"/>
              <w:rPr/>
            </w:pPr>
            <w:r>
              <w:rPr/>
              <w:t xml:space="preserve">180 °CJean-Claude Bradley Open Melting Point Dataset14753 </w:t>
            </w:r>
          </w:p>
        </w:tc>
      </w:tr>
      <w:tr>
        <w:trPr/>
        <w:tc>
          <w:tcPr>
            <w:tcW w:w="2926" w:type="dxa"/>
            <w:tcBorders/>
            <w:vAlign w:val="center"/>
          </w:tcPr>
          <w:p>
            <w:pPr>
              <w:pStyle w:val="TableContents"/>
              <w:bidi w:val="0"/>
              <w:spacing w:before="0" w:after="283"/>
              <w:jc w:val="start"/>
              <w:rPr/>
            </w:pPr>
            <w:r>
              <w:rPr/>
              <w:t xml:space="preserve">183 °CJean-Claude Bradley Open Melting Point Dataset25369 </w:t>
            </w:r>
          </w:p>
        </w:tc>
      </w:tr>
      <w:tr>
        <w:trPr/>
        <w:tc>
          <w:tcPr>
            <w:tcW w:w="2926" w:type="dxa"/>
            <w:tcBorders/>
            <w:vAlign w:val="center"/>
          </w:tcPr>
          <w:p>
            <w:pPr>
              <w:pStyle w:val="TableContents"/>
              <w:bidi w:val="0"/>
              <w:spacing w:before="0" w:after="283"/>
              <w:jc w:val="start"/>
              <w:rPr/>
            </w:pPr>
            <w:r>
              <w:rPr/>
              <w:t xml:space="preserve">173 °CJean-Claude Bradley Open Melting Point Dataset6684 </w:t>
            </w:r>
          </w:p>
        </w:tc>
      </w:tr>
      <w:tr>
        <w:trPr/>
        <w:tc>
          <w:tcPr>
            <w:tcW w:w="2926" w:type="dxa"/>
            <w:tcBorders/>
            <w:vAlign w:val="center"/>
          </w:tcPr>
          <w:p>
            <w:pPr>
              <w:pStyle w:val="TableContents"/>
              <w:bidi w:val="0"/>
              <w:spacing w:before="0" w:after="283"/>
              <w:jc w:val="start"/>
              <w:rPr/>
            </w:pPr>
            <w:r>
              <w:rPr/>
              <w:t xml:space="preserve">170-175 °CAlfa AesarB21573 </w:t>
            </w:r>
          </w:p>
        </w:tc>
      </w:tr>
      <w:tr>
        <w:trPr/>
        <w:tc>
          <w:tcPr>
            <w:tcW w:w="2926" w:type="dxa"/>
            <w:tcBorders/>
            <w:vAlign w:val="center"/>
          </w:tcPr>
          <w:p>
            <w:pPr>
              <w:pStyle w:val="TableContents"/>
              <w:bidi w:val="0"/>
              <w:spacing w:before="0" w:after="283"/>
              <w:jc w:val="start"/>
              <w:rPr/>
            </w:pPr>
            <w:r>
              <w:rPr/>
              <w:t xml:space="preserve">175 °CBiosynthQ-200901 </w:t>
            </w:r>
          </w:p>
        </w:tc>
      </w:tr>
      <w:tr>
        <w:trPr/>
        <w:tc>
          <w:tcPr>
            <w:tcW w:w="2926" w:type="dxa"/>
            <w:tcBorders/>
            <w:vAlign w:val="center"/>
          </w:tcPr>
          <w:p>
            <w:pPr>
              <w:pStyle w:val="TableContents"/>
              <w:bidi w:val="0"/>
              <w:spacing w:before="0" w:after="283"/>
              <w:jc w:val="start"/>
              <w:rPr/>
            </w:pPr>
            <w:r>
              <w:rPr/>
              <w:t xml:space="preserve">183 °CLabNetworkLN00193260 </w:t>
            </w:r>
          </w:p>
        </w:tc>
      </w:tr>
      <w:tr>
        <w:trPr/>
        <w:tc>
          <w:tcPr>
            <w:tcW w:w="2926" w:type="dxa"/>
            <w:tcBorders/>
            <w:vAlign w:val="center"/>
          </w:tcPr>
          <w:p>
            <w:pPr>
              <w:pStyle w:val="TableContents"/>
              <w:bidi w:val="0"/>
              <w:spacing w:before="0" w:after="283"/>
              <w:jc w:val="start"/>
              <w:rPr/>
            </w:pPr>
            <w:r>
              <w:rPr/>
              <w:t xml:space="preserve">183 °CIndofine[C-004],[024739S],[NR-011] </w:t>
            </w:r>
          </w:p>
        </w:tc>
      </w:tr>
      <w:tr>
        <w:trPr/>
        <w:tc>
          <w:tcPr>
            <w:tcW w:w="2926" w:type="dxa"/>
            <w:tcBorders/>
            <w:vAlign w:val="center"/>
          </w:tcPr>
          <w:p>
            <w:pPr>
              <w:pStyle w:val="TableContents"/>
              <w:bidi w:val="0"/>
              <w:spacing w:before="0" w:after="283"/>
              <w:jc w:val="start"/>
              <w:rPr/>
            </w:pPr>
            <w:r>
              <w:rPr/>
              <w:t xml:space="preserve">183 °CFooDBFDB012292 </w:t>
            </w:r>
          </w:p>
        </w:tc>
      </w:tr>
    </w:tbl>
    <w:p>
      <w:pPr>
        <w:pStyle w:val="Heading2"/>
        <w:numPr>
          <w:ilvl w:val="1"/>
          <w:numId w:val="3"/>
        </w:numPr>
        <w:tabs>
          <w:tab w:val="clear" w:pos="1134"/>
          <w:tab w:val="left" w:pos="1418" w:leader="none"/>
        </w:tabs>
        <w:bidi w:val="0"/>
        <w:ind w:start="1418" w:hanging="283"/>
        <w:jc w:val="start"/>
        <w:rPr/>
      </w:pPr>
      <w:r>
        <w:rPr/>
        <w:t xml:space="preserve">Experimental Flash Point: </w:t>
      </w:r>
    </w:p>
    <w:tbl>
      <w:tblPr>
        <w:tblW w:w="2731" w:type="dxa"/>
        <w:jc w:val="start"/>
        <w:tblInd w:w="1418" w:type="dxa"/>
        <w:tblLayout w:type="fixed"/>
        <w:tblCellMar>
          <w:top w:w="28" w:type="dxa"/>
          <w:start w:w="28" w:type="dxa"/>
          <w:bottom w:w="28" w:type="dxa"/>
          <w:end w:w="28" w:type="dxa"/>
        </w:tblCellMar>
      </w:tblPr>
      <w:tblGrid>
        <w:gridCol w:w="2731"/>
      </w:tblGrid>
      <w:tr>
        <w:trPr/>
        <w:tc>
          <w:tcPr>
            <w:tcW w:w="2731" w:type="dxa"/>
            <w:tcBorders/>
            <w:vAlign w:val="center"/>
          </w:tcPr>
          <w:p>
            <w:pPr>
              <w:pStyle w:val="TableContents"/>
              <w:bidi w:val="0"/>
              <w:spacing w:before="0" w:after="283"/>
              <w:jc w:val="start"/>
              <w:rPr/>
            </w:pPr>
            <w:r>
              <w:rPr/>
              <w:t xml:space="preserve">209 °CBiosynthQ-200901 </w:t>
            </w:r>
          </w:p>
        </w:tc>
      </w:tr>
    </w:tbl>
    <w:p>
      <w:pPr>
        <w:pStyle w:val="Heading2"/>
        <w:numPr>
          <w:ilvl w:val="1"/>
          <w:numId w:val="3"/>
        </w:numPr>
        <w:tabs>
          <w:tab w:val="clear" w:pos="1134"/>
          <w:tab w:val="left" w:pos="1418" w:leader="none"/>
        </w:tabs>
        <w:bidi w:val="0"/>
        <w:ind w:start="1418" w:hanging="283"/>
        <w:jc w:val="start"/>
        <w:rPr/>
      </w:pPr>
      <w:r>
        <w:rPr/>
        <w:t xml:space="preserve">Experimental Gravity: </w:t>
      </w:r>
    </w:p>
    <w:tbl>
      <w:tblPr>
        <w:tblW w:w="2986" w:type="dxa"/>
        <w:jc w:val="start"/>
        <w:tblInd w:w="1418" w:type="dxa"/>
        <w:tblLayout w:type="fixed"/>
        <w:tblCellMar>
          <w:top w:w="28" w:type="dxa"/>
          <w:start w:w="28" w:type="dxa"/>
          <w:bottom w:w="28" w:type="dxa"/>
          <w:end w:w="28" w:type="dxa"/>
        </w:tblCellMar>
      </w:tblPr>
      <w:tblGrid>
        <w:gridCol w:w="2986"/>
      </w:tblGrid>
      <w:tr>
        <w:trPr/>
        <w:tc>
          <w:tcPr>
            <w:tcW w:w="2986" w:type="dxa"/>
            <w:tcBorders/>
            <w:vAlign w:val="center"/>
          </w:tcPr>
          <w:p>
            <w:pPr>
              <w:pStyle w:val="TableContents"/>
              <w:bidi w:val="0"/>
              <w:spacing w:before="0" w:after="283"/>
              <w:jc w:val="start"/>
              <w:rPr/>
            </w:pPr>
            <w:r>
              <w:rPr/>
              <w:t xml:space="preserve">209 g/mLBiosynthQ-200901 </w:t>
            </w:r>
          </w:p>
        </w:tc>
      </w:tr>
    </w:tbl>
    <w:p>
      <w:pPr>
        <w:pStyle w:val="Heading2"/>
        <w:numPr>
          <w:ilvl w:val="1"/>
          <w:numId w:val="3"/>
        </w:numPr>
        <w:tabs>
          <w:tab w:val="clear" w:pos="1134"/>
          <w:tab w:val="left" w:pos="1418" w:leader="none"/>
        </w:tabs>
        <w:bidi w:val="0"/>
        <w:ind w:start="1418" w:hanging="283"/>
        <w:jc w:val="start"/>
        <w:rPr/>
      </w:pPr>
      <w:r>
        <w:rPr/>
        <w:t xml:space="preserve">Experimental Solubility: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DMSO: 25 mg/ml ; ethanol: 10 mg/ml; water:&lt; 0. 1 mg/ml; chloroformMedChem Expresshttp://www. medchemexpress. com/Geniposide. html, HY-N0005 </w:t>
            </w:r>
          </w:p>
        </w:tc>
      </w:tr>
      <w:tr>
        <w:trPr/>
        <w:tc>
          <w:tcPr>
            <w:tcW w:w="2926" w:type="dxa"/>
            <w:tcBorders/>
            <w:vAlign w:val="center"/>
          </w:tcPr>
          <w:p>
            <w:pPr>
              <w:pStyle w:val="TableContents"/>
              <w:bidi w:val="0"/>
              <w:spacing w:before="0" w:after="283"/>
              <w:jc w:val="start"/>
              <w:rPr/>
            </w:pPr>
            <w:r>
              <w:rPr/>
              <w:t xml:space="preserve">ethanol: 10 mg/mLIndofine[024739S],[C-004],[NR-011] </w:t>
            </w:r>
          </w:p>
        </w:tc>
      </w:tr>
      <w:tr>
        <w:trPr/>
        <w:tc>
          <w:tcPr>
            <w:tcW w:w="2926" w:type="dxa"/>
            <w:tcBorders/>
            <w:vAlign w:val="center"/>
          </w:tcPr>
          <w:p>
            <w:pPr>
              <w:pStyle w:val="TableContents"/>
              <w:bidi w:val="0"/>
              <w:spacing w:before="0" w:after="283"/>
              <w:jc w:val="start"/>
              <w:rPr/>
            </w:pPr>
            <w:r>
              <w:rPr/>
              <w:t xml:space="preserve">Insoluble in waterIndofine[024739S],[C-004],[NR-011] </w:t>
            </w:r>
          </w:p>
        </w:tc>
      </w:tr>
      <w:tr>
        <w:trPr/>
        <w:tc>
          <w:tcPr>
            <w:tcW w:w="2926" w:type="dxa"/>
            <w:tcBorders/>
            <w:vAlign w:val="center"/>
          </w:tcPr>
          <w:p>
            <w:pPr>
              <w:pStyle w:val="TableContents"/>
              <w:bidi w:val="0"/>
              <w:spacing w:before="0" w:after="283"/>
              <w:jc w:val="start"/>
              <w:rPr/>
            </w:pPr>
            <w:r>
              <w:rPr/>
              <w:t xml:space="preserve">Insoluble in water. Soluble in ethanol (10mg/mL), DMSO (74mg/mL), chloroform, acetone, DMF. Soluble in 0. 1 M NaOH to 3 mg/mL-do not store more than 12 hours. LKT Labs[C8069] </w:t>
            </w:r>
          </w:p>
        </w:tc>
      </w:tr>
      <w:tr>
        <w:trPr/>
        <w:tc>
          <w:tcPr>
            <w:tcW w:w="2926" w:type="dxa"/>
            <w:tcBorders/>
            <w:vAlign w:val="center"/>
          </w:tcPr>
          <w:p>
            <w:pPr>
              <w:pStyle w:val="TableContents"/>
              <w:bidi w:val="0"/>
              <w:spacing w:before="0" w:after="283"/>
              <w:jc w:val="start"/>
              <w:rPr/>
            </w:pPr>
            <w:r>
              <w:rPr/>
              <w:t xml:space="preserve">Insoluble in water. Soluble in ethanol, DMSO. LKT Labs[C8070] </w:t>
            </w:r>
          </w:p>
        </w:tc>
      </w:tr>
      <w:tr>
        <w:trPr/>
        <w:tc>
          <w:tcPr>
            <w:tcW w:w="2926" w:type="dxa"/>
            <w:tcBorders/>
            <w:vAlign w:val="center"/>
          </w:tcPr>
          <w:p>
            <w:pPr>
              <w:pStyle w:val="TableContents"/>
              <w:bidi w:val="0"/>
              <w:spacing w:before="0" w:after="283"/>
              <w:jc w:val="start"/>
              <w:rPr/>
            </w:pPr>
            <w:r>
              <w:rPr/>
              <w:t xml:space="preserve">Soluble to 10 mM in DMSO and to 5 mM in ethanolTocris Bioscience2841 </w:t>
            </w:r>
          </w:p>
        </w:tc>
      </w:tr>
    </w:tbl>
    <w:p>
      <w:pPr>
        <w:pStyle w:val="TextBody"/>
        <w:numPr>
          <w:ilvl w:val="0"/>
          <w:numId w:val="3"/>
        </w:numPr>
        <w:tabs>
          <w:tab w:val="clear" w:pos="1134"/>
          <w:tab w:val="left" w:pos="709" w:leader="none"/>
        </w:tabs>
        <w:bidi w:val="0"/>
        <w:spacing w:before="0" w:after="0"/>
        <w:ind w:start="709" w:hanging="283"/>
        <w:jc w:val="start"/>
        <w:rPr/>
      </w:pPr>
      <w:r>
        <w:rPr/>
        <w:t xml:space="preserve">Predicted Physico-chemical Properties </w:t>
      </w:r>
    </w:p>
    <w:p>
      <w:pPr>
        <w:pStyle w:val="Heading2"/>
        <w:numPr>
          <w:ilvl w:val="1"/>
          <w:numId w:val="3"/>
        </w:numPr>
        <w:tabs>
          <w:tab w:val="clear" w:pos="1134"/>
          <w:tab w:val="left" w:pos="1418" w:leader="none"/>
        </w:tabs>
        <w:bidi w:val="0"/>
        <w:ind w:start="1418" w:hanging="283"/>
        <w:jc w:val="start"/>
        <w:rPr/>
      </w:pPr>
      <w:r>
        <w:rPr/>
        <w:t xml:space="preserve">Predicted Melting Point: </w:t>
      </w:r>
    </w:p>
    <w:tbl>
      <w:tblPr>
        <w:tblW w:w="3016" w:type="dxa"/>
        <w:jc w:val="start"/>
        <w:tblInd w:w="1418" w:type="dxa"/>
        <w:tblLayout w:type="fixed"/>
        <w:tblCellMar>
          <w:top w:w="28" w:type="dxa"/>
          <w:start w:w="28" w:type="dxa"/>
          <w:bottom w:w="28" w:type="dxa"/>
          <w:end w:w="28" w:type="dxa"/>
        </w:tblCellMar>
      </w:tblPr>
      <w:tblGrid>
        <w:gridCol w:w="3016"/>
      </w:tblGrid>
      <w:tr>
        <w:trPr/>
        <w:tc>
          <w:tcPr>
            <w:tcW w:w="3016" w:type="dxa"/>
            <w:tcBorders/>
            <w:vAlign w:val="center"/>
          </w:tcPr>
          <w:p>
            <w:pPr>
              <w:pStyle w:val="TableContents"/>
              <w:bidi w:val="0"/>
              <w:spacing w:before="0" w:after="283"/>
              <w:jc w:val="start"/>
              <w:rPr/>
            </w:pPr>
            <w:r>
              <w:rPr/>
              <w:t xml:space="preserve">183 °CJ&amp;K Scientific207078 </w:t>
            </w:r>
          </w:p>
        </w:tc>
      </w:tr>
      <w:tr>
        <w:trPr/>
        <w:tc>
          <w:tcPr>
            <w:tcW w:w="3016" w:type="dxa"/>
            <w:tcBorders/>
            <w:vAlign w:val="center"/>
          </w:tcPr>
          <w:p>
            <w:pPr>
              <w:pStyle w:val="TableContents"/>
              <w:bidi w:val="0"/>
              <w:spacing w:before="0" w:after="283"/>
              <w:jc w:val="start"/>
              <w:rPr/>
            </w:pPr>
            <w:r>
              <w:rPr/>
              <w:t xml:space="preserve">183 °CTCI </w:t>
            </w:r>
          </w:p>
        </w:tc>
      </w:tr>
      <w:tr>
        <w:trPr/>
        <w:tc>
          <w:tcPr>
            <w:tcW w:w="3016" w:type="dxa"/>
            <w:tcBorders/>
            <w:vAlign w:val="center"/>
          </w:tcPr>
          <w:p>
            <w:pPr>
              <w:pStyle w:val="TableContents"/>
              <w:bidi w:val="0"/>
              <w:spacing w:before="0" w:after="283"/>
              <w:jc w:val="start"/>
              <w:rPr/>
            </w:pPr>
            <w:r>
              <w:rPr/>
              <w:t xml:space="preserve">183 °CIndofine[C-004] </w:t>
            </w:r>
          </w:p>
        </w:tc>
      </w:tr>
      <w:tr>
        <w:trPr/>
        <w:tc>
          <w:tcPr>
            <w:tcW w:w="3016" w:type="dxa"/>
            <w:tcBorders/>
            <w:vAlign w:val="center"/>
          </w:tcPr>
          <w:p>
            <w:pPr>
              <w:pStyle w:val="TableContents"/>
              <w:bidi w:val="0"/>
              <w:spacing w:before="0" w:after="283"/>
              <w:jc w:val="start"/>
              <w:rPr/>
            </w:pPr>
            <w:r>
              <w:rPr/>
              <w:t xml:space="preserve">183 °CTCIC0434 </w:t>
            </w:r>
          </w:p>
        </w:tc>
      </w:tr>
    </w:tbl>
    <w:p>
      <w:pPr>
        <w:pStyle w:val="TextBody"/>
        <w:numPr>
          <w:ilvl w:val="0"/>
          <w:numId w:val="3"/>
        </w:numPr>
        <w:tabs>
          <w:tab w:val="clear" w:pos="1134"/>
          <w:tab w:val="left" w:pos="709" w:leader="none"/>
        </w:tabs>
        <w:bidi w:val="0"/>
        <w:spacing w:before="0" w:after="0"/>
        <w:ind w:start="709" w:hanging="283"/>
        <w:jc w:val="start"/>
        <w:rPr/>
      </w:pPr>
      <w:r>
        <w:rPr/>
        <w:t xml:space="preserve">Miscellaneous </w:t>
      </w:r>
    </w:p>
    <w:p>
      <w:pPr>
        <w:pStyle w:val="Heading2"/>
        <w:numPr>
          <w:ilvl w:val="1"/>
          <w:numId w:val="3"/>
        </w:numPr>
        <w:tabs>
          <w:tab w:val="clear" w:pos="1134"/>
          <w:tab w:val="left" w:pos="1418" w:leader="none"/>
        </w:tabs>
        <w:bidi w:val="0"/>
        <w:ind w:start="1418" w:hanging="283"/>
        <w:jc w:val="start"/>
        <w:rPr/>
      </w:pPr>
      <w:r>
        <w:rPr/>
        <w:t xml:space="preserve">Appearance: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orange crystalline powderOxford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Stability: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Stable, but may be light sensitive. Incompatible with strong oxidizing agents. 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Toxicity: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ORL-MUS LD50 &gt; 2000 mg kg-1, IPR-MUS LD50 1500 mg kg-1Oxford University Chemical Safety Data (No longer updated)More details </w:t>
            </w:r>
          </w:p>
        </w:tc>
      </w:tr>
    </w:tbl>
    <w:p>
      <w:pPr>
        <w:pStyle w:val="Heading2"/>
        <w:numPr>
          <w:ilvl w:val="1"/>
          <w:numId w:val="3"/>
        </w:numPr>
        <w:tabs>
          <w:tab w:val="clear" w:pos="1134"/>
          <w:tab w:val="left" w:pos="1418" w:leader="none"/>
        </w:tabs>
        <w:bidi w:val="0"/>
        <w:ind w:start="1418" w:hanging="283"/>
        <w:jc w:val="start"/>
        <w:rPr/>
      </w:pPr>
      <w:r>
        <w:rPr/>
        <w:t xml:space="preserve">Safety: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26-36/37Alfa AesarB21573 </w:t>
            </w:r>
          </w:p>
        </w:tc>
      </w:tr>
      <w:tr>
        <w:trPr/>
        <w:tc>
          <w:tcPr>
            <w:tcW w:w="2926" w:type="dxa"/>
            <w:tcBorders/>
            <w:vAlign w:val="center"/>
          </w:tcPr>
          <w:p>
            <w:pPr>
              <w:pStyle w:val="TableContents"/>
              <w:bidi w:val="0"/>
              <w:spacing w:before="0" w:after="283"/>
              <w:jc w:val="start"/>
              <w:rPr/>
            </w:pPr>
            <w:r>
              <w:rPr/>
              <w:t xml:space="preserve">26-37-60Alfa AesarB21573 </w:t>
            </w:r>
          </w:p>
        </w:tc>
      </w:tr>
      <w:tr>
        <w:trPr/>
        <w:tc>
          <w:tcPr>
            <w:tcW w:w="2926" w:type="dxa"/>
            <w:tcBorders/>
            <w:vAlign w:val="center"/>
          </w:tcPr>
          <w:p>
            <w:pPr>
              <w:pStyle w:val="TableContents"/>
              <w:bidi w:val="0"/>
              <w:spacing w:before="0" w:after="283"/>
              <w:jc w:val="start"/>
              <w:rPr/>
            </w:pPr>
            <w:r>
              <w:rPr/>
              <w:t xml:space="preserve">36/37/38Alfa AesarB21573 </w:t>
            </w:r>
          </w:p>
        </w:tc>
      </w:tr>
      <w:tr>
        <w:trPr/>
        <w:tc>
          <w:tcPr>
            <w:tcW w:w="2926" w:type="dxa"/>
            <w:tcBorders/>
            <w:vAlign w:val="center"/>
          </w:tcPr>
          <w:p>
            <w:pPr>
              <w:pStyle w:val="TableContents"/>
              <w:bidi w:val="0"/>
              <w:spacing w:before="0" w:after="283"/>
              <w:jc w:val="start"/>
              <w:rPr/>
            </w:pPr>
            <w:r>
              <w:rPr/>
              <w:t xml:space="preserve">36/37/38LKT Labs[C8070] </w:t>
            </w:r>
          </w:p>
        </w:tc>
      </w:tr>
      <w:tr>
        <w:trPr/>
        <w:tc>
          <w:tcPr>
            <w:tcW w:w="2926" w:type="dxa"/>
            <w:tcBorders/>
            <w:vAlign w:val="center"/>
          </w:tcPr>
          <w:p>
            <w:pPr>
              <w:pStyle w:val="TableContents"/>
              <w:bidi w:val="0"/>
              <w:spacing w:before="0" w:after="283"/>
              <w:jc w:val="start"/>
              <w:rPr/>
            </w:pPr>
            <w:r>
              <w:rPr/>
              <w:t xml:space="preserve">CAUTION: May irritate eyes, skin, and respiratory tractAlfa AesarB21573 </w:t>
            </w:r>
          </w:p>
        </w:tc>
      </w:tr>
      <w:tr>
        <w:trPr/>
        <w:tc>
          <w:tcPr>
            <w:tcW w:w="2926" w:type="dxa"/>
            <w:tcBorders/>
            <w:vAlign w:val="center"/>
          </w:tcPr>
          <w:p>
            <w:pPr>
              <w:pStyle w:val="TableContents"/>
              <w:bidi w:val="0"/>
              <w:spacing w:before="0" w:after="283"/>
              <w:jc w:val="start"/>
              <w:rPr/>
            </w:pPr>
            <w:r>
              <w:rPr/>
              <w:t xml:space="preserve">GHS07BiosynthQ-200901 </w:t>
            </w:r>
          </w:p>
        </w:tc>
      </w:tr>
      <w:tr>
        <w:trPr/>
        <w:tc>
          <w:tcPr>
            <w:tcW w:w="2926" w:type="dxa"/>
            <w:tcBorders/>
            <w:vAlign w:val="center"/>
          </w:tcPr>
          <w:p>
            <w:pPr>
              <w:pStyle w:val="TableContents"/>
              <w:bidi w:val="0"/>
              <w:spacing w:before="0" w:after="283"/>
              <w:jc w:val="start"/>
              <w:rPr/>
            </w:pPr>
            <w:r>
              <w:rPr/>
              <w:t xml:space="preserve">H315 H319 H335LKT Labs[C8069],[C8070] </w:t>
            </w:r>
          </w:p>
        </w:tc>
      </w:tr>
      <w:tr>
        <w:trPr/>
        <w:tc>
          <w:tcPr>
            <w:tcW w:w="2926" w:type="dxa"/>
            <w:tcBorders/>
            <w:vAlign w:val="center"/>
          </w:tcPr>
          <w:p>
            <w:pPr>
              <w:pStyle w:val="TableContents"/>
              <w:bidi w:val="0"/>
              <w:spacing w:before="0" w:after="283"/>
              <w:jc w:val="start"/>
              <w:rPr/>
            </w:pPr>
            <w:r>
              <w:rPr/>
              <w:t xml:space="preserve">H315; H319; H335BiosynthQ-200901 </w:t>
            </w:r>
          </w:p>
        </w:tc>
      </w:tr>
      <w:tr>
        <w:trPr/>
        <w:tc>
          <w:tcPr>
            <w:tcW w:w="2926" w:type="dxa"/>
            <w:tcBorders/>
            <w:vAlign w:val="center"/>
          </w:tcPr>
          <w:p>
            <w:pPr>
              <w:pStyle w:val="TableContents"/>
              <w:bidi w:val="0"/>
              <w:spacing w:before="0" w:after="283"/>
              <w:jc w:val="start"/>
              <w:rPr/>
            </w:pPr>
            <w:r>
              <w:rPr/>
              <w:t xml:space="preserve">H315-H319-H335Alfa AesarB21573 </w:t>
            </w:r>
          </w:p>
        </w:tc>
      </w:tr>
      <w:tr>
        <w:trPr/>
        <w:tc>
          <w:tcPr>
            <w:tcW w:w="2926" w:type="dxa"/>
            <w:tcBorders/>
            <w:vAlign w:val="center"/>
          </w:tcPr>
          <w:p>
            <w:pPr>
              <w:pStyle w:val="TableContents"/>
              <w:bidi w:val="0"/>
              <w:spacing w:before="0" w:after="283"/>
              <w:jc w:val="start"/>
              <w:rPr/>
            </w:pPr>
            <w:r>
              <w:rPr/>
              <w:t xml:space="preserve">IrritantSynQuest2920-1-E1, 82529 </w:t>
            </w:r>
          </w:p>
        </w:tc>
      </w:tr>
      <w:tr>
        <w:trPr/>
        <w:tc>
          <w:tcPr>
            <w:tcW w:w="2926" w:type="dxa"/>
            <w:tcBorders/>
            <w:vAlign w:val="center"/>
          </w:tcPr>
          <w:p>
            <w:pPr>
              <w:pStyle w:val="TableContents"/>
              <w:bidi w:val="0"/>
              <w:spacing w:before="0" w:after="283"/>
              <w:jc w:val="start"/>
              <w:rPr/>
            </w:pPr>
            <w:r>
              <w:rPr/>
              <w:t xml:space="preserve">NoneLKT Labs[C8069],[C8070] </w:t>
            </w:r>
          </w:p>
        </w:tc>
      </w:tr>
      <w:tr>
        <w:trPr/>
        <w:tc>
          <w:tcPr>
            <w:tcW w:w="2926" w:type="dxa"/>
            <w:tcBorders/>
            <w:vAlign w:val="center"/>
          </w:tcPr>
          <w:p>
            <w:pPr>
              <w:pStyle w:val="TableContents"/>
              <w:bidi w:val="0"/>
              <w:spacing w:before="0" w:after="283"/>
              <w:jc w:val="start"/>
              <w:rPr/>
            </w:pPr>
            <w:r>
              <w:rPr/>
              <w:t xml:space="preserve">P261; P280; P302+P352; P304+P340; P305+P351+P338; P312BiosynthQ-200901 </w:t>
            </w:r>
          </w:p>
        </w:tc>
      </w:tr>
      <w:tr>
        <w:trPr/>
        <w:tc>
          <w:tcPr>
            <w:tcW w:w="2926" w:type="dxa"/>
            <w:tcBorders/>
            <w:vAlign w:val="center"/>
          </w:tcPr>
          <w:p>
            <w:pPr>
              <w:pStyle w:val="TableContents"/>
              <w:bidi w:val="0"/>
              <w:spacing w:before="0" w:after="283"/>
              <w:jc w:val="start"/>
              <w:rPr/>
            </w:pPr>
            <w:r>
              <w:rPr/>
              <w:t xml:space="preserve">P261-P280-P305+P351+P338-P304+P340-P405-P501aAlfa AesarB21573 </w:t>
            </w:r>
          </w:p>
        </w:tc>
      </w:tr>
      <w:tr>
        <w:trPr/>
        <w:tc>
          <w:tcPr>
            <w:tcW w:w="2926" w:type="dxa"/>
            <w:tcBorders/>
            <w:vAlign w:val="center"/>
          </w:tcPr>
          <w:p>
            <w:pPr>
              <w:pStyle w:val="TableContents"/>
              <w:bidi w:val="0"/>
              <w:spacing w:before="0" w:after="283"/>
              <w:jc w:val="start"/>
              <w:rPr/>
            </w:pPr>
            <w:r>
              <w:rPr/>
              <w:t xml:space="preserve">R36/37/38LKT Labs[C8069] </w:t>
            </w:r>
          </w:p>
        </w:tc>
      </w:tr>
      <w:tr>
        <w:trPr/>
        <w:tc>
          <w:tcPr>
            <w:tcW w:w="2926" w:type="dxa"/>
            <w:tcBorders/>
            <w:vAlign w:val="center"/>
          </w:tcPr>
          <w:p>
            <w:pPr>
              <w:pStyle w:val="TableContents"/>
              <w:bidi w:val="0"/>
              <w:spacing w:before="0" w:after="283"/>
              <w:jc w:val="start"/>
              <w:rPr/>
            </w:pPr>
            <w:r>
              <w:rPr/>
              <w:t xml:space="preserve">Safety glasses. Do not breathe dust. Oxford University Chemical Safety Data (No longer updated)More details </w:t>
            </w:r>
          </w:p>
        </w:tc>
      </w:tr>
      <w:tr>
        <w:trPr/>
        <w:tc>
          <w:tcPr>
            <w:tcW w:w="2926" w:type="dxa"/>
            <w:tcBorders/>
            <w:vAlign w:val="center"/>
          </w:tcPr>
          <w:p>
            <w:pPr>
              <w:pStyle w:val="TableContents"/>
              <w:bidi w:val="0"/>
              <w:spacing w:before="0" w:after="283"/>
              <w:jc w:val="start"/>
              <w:rPr/>
            </w:pPr>
            <w:r>
              <w:rPr/>
              <w:t xml:space="preserve">WarningAlfa AesarB21573 </w:t>
            </w:r>
          </w:p>
        </w:tc>
      </w:tr>
      <w:tr>
        <w:trPr/>
        <w:tc>
          <w:tcPr>
            <w:tcW w:w="2926" w:type="dxa"/>
            <w:tcBorders/>
            <w:vAlign w:val="center"/>
          </w:tcPr>
          <w:p>
            <w:pPr>
              <w:pStyle w:val="TableContents"/>
              <w:bidi w:val="0"/>
              <w:spacing w:before="0" w:after="283"/>
              <w:jc w:val="start"/>
              <w:rPr/>
            </w:pPr>
            <w:r>
              <w:rPr/>
              <w:t xml:space="preserve">WarningBiosynthQ-200901 </w:t>
            </w:r>
          </w:p>
        </w:tc>
      </w:tr>
      <w:tr>
        <w:trPr/>
        <w:tc>
          <w:tcPr>
            <w:tcW w:w="2926" w:type="dxa"/>
            <w:tcBorders/>
            <w:vAlign w:val="center"/>
          </w:tcPr>
          <w:p>
            <w:pPr>
              <w:pStyle w:val="TableContents"/>
              <w:bidi w:val="0"/>
              <w:spacing w:before="0" w:after="283"/>
              <w:jc w:val="start"/>
              <w:rPr/>
            </w:pPr>
            <w:r>
              <w:rPr/>
              <w:t xml:space="preserve">WARNING: Irritates lungs, eyes, skinAlfa AesarB21573 </w:t>
            </w:r>
          </w:p>
        </w:tc>
      </w:tr>
      <w:tr>
        <w:trPr/>
        <w:tc>
          <w:tcPr>
            <w:tcW w:w="2926" w:type="dxa"/>
            <w:tcBorders/>
            <w:vAlign w:val="center"/>
          </w:tcPr>
          <w:p>
            <w:pPr>
              <w:pStyle w:val="TableContents"/>
              <w:bidi w:val="0"/>
              <w:spacing w:before="0" w:after="283"/>
              <w:jc w:val="start"/>
              <w:rPr/>
            </w:pPr>
            <w:r>
              <w:rPr/>
              <w:t xml:space="preserve">XiLKT Labs[C8069],[C8070] </w:t>
            </w:r>
          </w:p>
        </w:tc>
      </w:tr>
    </w:tbl>
    <w:p>
      <w:pPr>
        <w:pStyle w:val="Heading2"/>
        <w:numPr>
          <w:ilvl w:val="1"/>
          <w:numId w:val="3"/>
        </w:numPr>
        <w:tabs>
          <w:tab w:val="clear" w:pos="1134"/>
          <w:tab w:val="left" w:pos="1418" w:leader="none"/>
        </w:tabs>
        <w:bidi w:val="0"/>
        <w:ind w:start="1418" w:hanging="283"/>
        <w:jc w:val="start"/>
        <w:rPr/>
      </w:pPr>
      <w:r>
        <w:rPr/>
        <w:t xml:space="preserve">Compound Source: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Isol. from Curcuma zedoaria (turmeric), other Curcuma spp. and other spp. Zerenex Molecular[ZBioX-0548] </w:t>
            </w:r>
          </w:p>
        </w:tc>
      </w:tr>
    </w:tbl>
    <w:p>
      <w:pPr>
        <w:pStyle w:val="Heading2"/>
        <w:numPr>
          <w:ilvl w:val="1"/>
          <w:numId w:val="3"/>
        </w:numPr>
        <w:tabs>
          <w:tab w:val="clear" w:pos="1134"/>
          <w:tab w:val="left" w:pos="1418" w:leader="none"/>
        </w:tabs>
        <w:bidi w:val="0"/>
        <w:ind w:start="1418" w:hanging="283"/>
        <w:jc w:val="start"/>
        <w:rPr/>
      </w:pPr>
      <w:r>
        <w:rPr/>
        <w:t xml:space="preserve">Bio Activity: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Antiinflammatory agent; Zerenex Molecular[ZBioX-0548] </w:t>
            </w:r>
          </w:p>
        </w:tc>
      </w:tr>
      <w:tr>
        <w:trPr/>
        <w:tc>
          <w:tcPr>
            <w:tcW w:w="2926" w:type="dxa"/>
            <w:tcBorders/>
            <w:vAlign w:val="center"/>
          </w:tcPr>
          <w:p>
            <w:pPr>
              <w:pStyle w:val="TableContents"/>
              <w:bidi w:val="0"/>
              <w:spacing w:before="0" w:after="283"/>
              <w:jc w:val="start"/>
              <w:rPr/>
            </w:pPr>
            <w:r>
              <w:rPr/>
              <w:t xml:space="preserve">Antitumor, anti-inflammatory and antioxidantTocris Bioscience2841 </w:t>
            </w:r>
          </w:p>
        </w:tc>
      </w:tr>
      <w:tr>
        <w:trPr/>
        <w:tc>
          <w:tcPr>
            <w:tcW w:w="2926" w:type="dxa"/>
            <w:tcBorders/>
            <w:vAlign w:val="center"/>
          </w:tcPr>
          <w:p>
            <w:pPr>
              <w:pStyle w:val="TableContents"/>
              <w:bidi w:val="0"/>
              <w:spacing w:before="0" w:after="283"/>
              <w:jc w:val="start"/>
              <w:rPr/>
            </w:pPr>
            <w:r>
              <w:rPr/>
              <w:t xml:space="preserve">Antitumor, anti-inflammatory and antioxidant agent. Downregulates expression of reactive-oxygen-generating enzymes (cyclooxygenase, lipoxygenase, iNOS), TNF?, IL-1, IL-6, PKC, EGFR, NF-? B, I? B kinaseand more. Upregulates expression of PPAR?, p53, Nrf2. Also displays antimicrobial, antidiabetic neuro- and cardioprotective properties in vivo. Tocris Bioscience2841 </w:t>
            </w:r>
          </w:p>
        </w:tc>
      </w:tr>
      <w:tr>
        <w:trPr/>
        <w:tc>
          <w:tcPr>
            <w:tcW w:w="2926" w:type="dxa"/>
            <w:tcBorders/>
            <w:vAlign w:val="center"/>
          </w:tcPr>
          <w:p>
            <w:pPr>
              <w:pStyle w:val="TableContents"/>
              <w:bidi w:val="0"/>
              <w:spacing w:before="0" w:after="283"/>
              <w:jc w:val="start"/>
              <w:rPr/>
            </w:pPr>
            <w:r>
              <w:rPr/>
              <w:t xml:space="preserve">Antitumor, anti-inflammatory and antioxidant agent. Downregulates expression of reactive-oxygen-generating enzymes (cyclooxygenase, lipoxygenase, iNOS), TNF?, IL-1, IL-6, PKC, EGFR, NF-? B, I? B kinase and more. Upregulates expression of PPAR?, p53, Nrf2. Also displays antimicrobial, antidiabetic neuro- and cardioprotective properties in vivo. Tocris Bioscience2841 </w:t>
            </w:r>
          </w:p>
        </w:tc>
      </w:tr>
      <w:tr>
        <w:trPr/>
        <w:tc>
          <w:tcPr>
            <w:tcW w:w="2926" w:type="dxa"/>
            <w:tcBorders/>
            <w:vAlign w:val="center"/>
          </w:tcPr>
          <w:p>
            <w:pPr>
              <w:pStyle w:val="TableContents"/>
              <w:bidi w:val="0"/>
              <w:spacing w:before="0" w:after="283"/>
              <w:jc w:val="start"/>
              <w:rPr/>
            </w:pPr>
            <w:r>
              <w:rPr/>
              <w:t xml:space="preserve">ApoptosisTocris Bioscience2841 </w:t>
            </w:r>
          </w:p>
        </w:tc>
      </w:tr>
      <w:tr>
        <w:trPr/>
        <w:tc>
          <w:tcPr>
            <w:tcW w:w="2926" w:type="dxa"/>
            <w:tcBorders/>
            <w:vAlign w:val="center"/>
          </w:tcPr>
          <w:p>
            <w:pPr>
              <w:pStyle w:val="TableContents"/>
              <w:bidi w:val="0"/>
              <w:spacing w:before="0" w:after="283"/>
              <w:jc w:val="start"/>
              <w:rPr/>
            </w:pPr>
            <w:r>
              <w:rPr/>
              <w:t xml:space="preserve">Apoptosis InducersTocris Bioscience2841 </w:t>
            </w:r>
          </w:p>
        </w:tc>
      </w:tr>
      <w:tr>
        <w:trPr/>
        <w:tc>
          <w:tcPr>
            <w:tcW w:w="2926" w:type="dxa"/>
            <w:tcBorders/>
            <w:vAlign w:val="center"/>
          </w:tcPr>
          <w:p>
            <w:pPr>
              <w:pStyle w:val="TableContents"/>
              <w:bidi w:val="0"/>
              <w:spacing w:before="0" w:after="283"/>
              <w:jc w:val="start"/>
              <w:rPr/>
            </w:pPr>
            <w:r>
              <w:rPr/>
              <w:t xml:space="preserve">Cell BiologyTocris Bioscience2841 </w:t>
            </w:r>
          </w:p>
        </w:tc>
      </w:tr>
      <w:tr>
        <w:trPr/>
        <w:tc>
          <w:tcPr>
            <w:tcW w:w="2926" w:type="dxa"/>
            <w:tcBorders/>
            <w:vAlign w:val="center"/>
          </w:tcPr>
          <w:p>
            <w:pPr>
              <w:pStyle w:val="TableContents"/>
              <w:bidi w:val="0"/>
              <w:spacing w:before="0" w:after="283"/>
              <w:jc w:val="start"/>
              <w:rPr/>
            </w:pPr>
            <w:r>
              <w:rPr/>
              <w:t xml:space="preserve">Curcumin is a natural phenolic compound with impressive antioxidant properties. MedChem Expresshttp://www. medchemexpress. com/Geniposide. html, HY-N0005 </w:t>
            </w:r>
          </w:p>
        </w:tc>
      </w:tr>
      <w:tr>
        <w:trPr/>
        <w:tc>
          <w:tcPr>
            <w:tcW w:w="2926" w:type="dxa"/>
            <w:tcBorders/>
            <w:vAlign w:val="center"/>
          </w:tcPr>
          <w:p>
            <w:pPr>
              <w:pStyle w:val="TableContents"/>
              <w:bidi w:val="0"/>
              <w:spacing w:before="0" w:after="283"/>
              <w:jc w:val="start"/>
              <w:rPr/>
            </w:pPr>
            <w:r>
              <w:rPr/>
              <w:t xml:space="preserve">Curcumin is a natural phenolic compound with impressive antioxidant properties. Curcumin is recently proved to exert its chemopreventive effects partly through the activation of nuclear factor (erythroid-2 related) factor 2 (Nrf2).; IC50 Value:; Target: Nrf2 Curcumin possesses chemopreventive properties against several types of cancer, but the molecular mechanisms by which it induces apoptosis of cancer cells and inhibits cancer cell proliferation are not clearly understood. ; In vitro: curcumin induced the expression of forkhead box protein O1 (FOXO1) through activation of extracellular signal-regulated kinase 1/2 signaling. Curcumin inhibited cell proliferation, which was associated with upregulation of the cyclin-dependent kinase inhibitors, p27 and p21, and downregulation of cyclin D1 [2]. Treatment of AGS and HT-29 cells with curcumin enhanced the cleavage of procaspase-3, -7, -8 and -9. Meanwhile, curcumin induced endoplasmic reticulum (ER) stress and mitochondrial dysfunctionMedChem ExpressHY-N0005 </w:t>
            </w:r>
          </w:p>
        </w:tc>
      </w:tr>
      <w:tr>
        <w:trPr/>
        <w:tc>
          <w:tcPr>
            <w:tcW w:w="2926" w:type="dxa"/>
            <w:tcBorders/>
            <w:vAlign w:val="center"/>
          </w:tcPr>
          <w:p>
            <w:pPr>
              <w:pStyle w:val="TableContents"/>
              <w:bidi w:val="0"/>
              <w:spacing w:before="0" w:after="283"/>
              <w:jc w:val="start"/>
              <w:rPr/>
            </w:pPr>
            <w:r>
              <w:rPr/>
              <w:t xml:space="preserve">Keap1-Nrf2MedChem ExpressHY-N0005 </w:t>
            </w:r>
          </w:p>
        </w:tc>
      </w:tr>
      <w:tr>
        <w:trPr/>
        <w:tc>
          <w:tcPr>
            <w:tcW w:w="2926" w:type="dxa"/>
            <w:tcBorders/>
            <w:vAlign w:val="center"/>
          </w:tcPr>
          <w:p>
            <w:pPr>
              <w:pStyle w:val="TableContents"/>
              <w:bidi w:val="0"/>
              <w:spacing w:before="0" w:after="283"/>
              <w:jc w:val="start"/>
              <w:rPr/>
            </w:pPr>
            <w:r>
              <w:rPr/>
              <w:t xml:space="preserve">NF-kBMedChem ExpressHY-N0005 </w:t>
            </w:r>
          </w:p>
        </w:tc>
      </w:tr>
      <w:tr>
        <w:trPr/>
        <w:tc>
          <w:tcPr>
            <w:tcW w:w="2926" w:type="dxa"/>
            <w:tcBorders/>
            <w:vAlign w:val="center"/>
          </w:tcPr>
          <w:p>
            <w:pPr>
              <w:pStyle w:val="TableContents"/>
              <w:bidi w:val="0"/>
              <w:spacing w:before="0" w:after="283"/>
              <w:jc w:val="start"/>
              <w:rPr/>
            </w:pPr>
            <w:r>
              <w:rPr/>
              <w:t xml:space="preserve">NF-kB; MedChem ExpressHY-N0005 </w:t>
            </w:r>
          </w:p>
        </w:tc>
      </w:tr>
    </w:tbl>
    <w:p>
      <w:pPr>
        <w:pStyle w:val="TextBody"/>
        <w:numPr>
          <w:ilvl w:val="0"/>
          <w:numId w:val="3"/>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3"/>
        </w:numPr>
        <w:tabs>
          <w:tab w:val="clear" w:pos="1134"/>
          <w:tab w:val="left" w:pos="1418" w:leader="none"/>
        </w:tabs>
        <w:bidi w:val="0"/>
        <w:ind w:start="1418" w:hanging="283"/>
        <w:jc w:val="start"/>
        <w:rPr/>
      </w:pPr>
      <w:r>
        <w:rPr/>
        <w:t xml:space="preserve">Retention Index (Kovats): </w:t>
      </w:r>
    </w:p>
    <w:tbl>
      <w:tblPr>
        <w:tblW w:w="2926" w:type="dxa"/>
        <w:jc w:val="start"/>
        <w:tblInd w:w="1418" w:type="dxa"/>
        <w:tblLayout w:type="fixed"/>
        <w:tblCellMar>
          <w:top w:w="28" w:type="dxa"/>
          <w:start w:w="28" w:type="dxa"/>
          <w:bottom w:w="28" w:type="dxa"/>
          <w:end w:w="28" w:type="dxa"/>
        </w:tblCellMar>
      </w:tblPr>
      <w:tblGrid>
        <w:gridCol w:w="2926"/>
      </w:tblGrid>
      <w:tr>
        <w:trPr/>
        <w:tc>
          <w:tcPr>
            <w:tcW w:w="2926" w:type="dxa"/>
            <w:tcBorders/>
            <w:vAlign w:val="center"/>
          </w:tcPr>
          <w:p>
            <w:pPr>
              <w:pStyle w:val="TableContents"/>
              <w:bidi w:val="0"/>
              <w:spacing w:before="0" w:after="283"/>
              <w:jc w:val="start"/>
              <w:rPr/>
            </w:pPr>
            <w:r>
              <w:rPr/>
              <w:t xml:space="preserve">3170 (estimated with error: 89)NIST Spectramainlib_228935, replib_75938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2135"/>
        <w:gridCol w:w="2209"/>
      </w:tblGrid>
      <w:tr>
        <w:trPr/>
        <w:tc>
          <w:tcPr>
            <w:tcW w:w="2135" w:type="dxa"/>
            <w:tcBorders/>
            <w:vAlign w:val="center"/>
          </w:tcPr>
          <w:p>
            <w:pPr>
              <w:pStyle w:val="TableContents"/>
              <w:bidi w:val="0"/>
              <w:spacing w:before="0" w:after="283"/>
              <w:jc w:val="start"/>
              <w:rPr/>
            </w:pPr>
            <w:r>
              <w:rPr/>
              <w:t xml:space="preserve">Density: </w:t>
            </w:r>
          </w:p>
        </w:tc>
        <w:tc>
          <w:tcPr>
            <w:tcW w:w="2209" w:type="dxa"/>
            <w:tcBorders/>
            <w:vAlign w:val="center"/>
          </w:tcPr>
          <w:p>
            <w:pPr>
              <w:pStyle w:val="TableContents"/>
              <w:bidi w:val="0"/>
              <w:spacing w:before="0" w:after="283"/>
              <w:jc w:val="start"/>
              <w:rPr/>
            </w:pPr>
            <w:r>
              <w:rPr/>
              <w:t xml:space="preserve">1. 3±0. 1 g/cm </w:t>
            </w:r>
            <w:r>
              <w:rPr>
                <w:position w:val="8"/>
                <w:sz w:val="19"/>
              </w:rPr>
              <w:t xml:space="preserve">3 </w:t>
            </w:r>
          </w:p>
        </w:tc>
      </w:tr>
      <w:tr>
        <w:trPr/>
        <w:tc>
          <w:tcPr>
            <w:tcW w:w="2135" w:type="dxa"/>
            <w:tcBorders/>
            <w:vAlign w:val="center"/>
          </w:tcPr>
          <w:p>
            <w:pPr>
              <w:pStyle w:val="TableContents"/>
              <w:bidi w:val="0"/>
              <w:spacing w:before="0" w:after="283"/>
              <w:jc w:val="start"/>
              <w:rPr/>
            </w:pPr>
            <w:r>
              <w:rPr/>
              <w:t xml:space="preserve">Boiling Point: </w:t>
            </w:r>
          </w:p>
        </w:tc>
        <w:tc>
          <w:tcPr>
            <w:tcW w:w="2209" w:type="dxa"/>
            <w:tcBorders/>
            <w:vAlign w:val="center"/>
          </w:tcPr>
          <w:p>
            <w:pPr>
              <w:pStyle w:val="TableContents"/>
              <w:bidi w:val="0"/>
              <w:spacing w:before="0" w:after="283"/>
              <w:jc w:val="start"/>
              <w:rPr/>
            </w:pPr>
            <w:r>
              <w:rPr/>
              <w:t xml:space="preserve">591. 4±50. 0 °C at 760 mmHg </w:t>
            </w:r>
          </w:p>
        </w:tc>
      </w:tr>
      <w:tr>
        <w:trPr/>
        <w:tc>
          <w:tcPr>
            <w:tcW w:w="2135" w:type="dxa"/>
            <w:tcBorders/>
            <w:vAlign w:val="center"/>
          </w:tcPr>
          <w:p>
            <w:pPr>
              <w:pStyle w:val="TableContents"/>
              <w:bidi w:val="0"/>
              <w:spacing w:before="0" w:after="283"/>
              <w:jc w:val="start"/>
              <w:rPr/>
            </w:pPr>
            <w:r>
              <w:rPr/>
              <w:t xml:space="preserve">Vapour Pressure: </w:t>
            </w:r>
          </w:p>
        </w:tc>
        <w:tc>
          <w:tcPr>
            <w:tcW w:w="2209" w:type="dxa"/>
            <w:tcBorders/>
            <w:vAlign w:val="center"/>
          </w:tcPr>
          <w:p>
            <w:pPr>
              <w:pStyle w:val="TableContents"/>
              <w:bidi w:val="0"/>
              <w:spacing w:before="0" w:after="283"/>
              <w:jc w:val="start"/>
              <w:rPr/>
            </w:pPr>
            <w:r>
              <w:rPr/>
              <w:t xml:space="preserve">0. 0±1. 7 mmHg at 25°C </w:t>
            </w:r>
          </w:p>
        </w:tc>
      </w:tr>
      <w:tr>
        <w:trPr/>
        <w:tc>
          <w:tcPr>
            <w:tcW w:w="2135" w:type="dxa"/>
            <w:tcBorders/>
            <w:vAlign w:val="center"/>
          </w:tcPr>
          <w:p>
            <w:pPr>
              <w:pStyle w:val="TableContents"/>
              <w:bidi w:val="0"/>
              <w:spacing w:before="0" w:after="283"/>
              <w:jc w:val="start"/>
              <w:rPr/>
            </w:pPr>
            <w:r>
              <w:rPr/>
              <w:t xml:space="preserve">Enthalpy of Vaporization: </w:t>
            </w:r>
          </w:p>
        </w:tc>
        <w:tc>
          <w:tcPr>
            <w:tcW w:w="2209" w:type="dxa"/>
            <w:tcBorders/>
            <w:vAlign w:val="center"/>
          </w:tcPr>
          <w:p>
            <w:pPr>
              <w:pStyle w:val="TableContents"/>
              <w:bidi w:val="0"/>
              <w:spacing w:before="0" w:after="283"/>
              <w:jc w:val="start"/>
              <w:rPr/>
            </w:pPr>
            <w:r>
              <w:rPr/>
              <w:t xml:space="preserve">91. 5±3. 0 kJ/mol </w:t>
            </w:r>
          </w:p>
        </w:tc>
      </w:tr>
      <w:tr>
        <w:trPr/>
        <w:tc>
          <w:tcPr>
            <w:tcW w:w="2135" w:type="dxa"/>
            <w:tcBorders/>
            <w:vAlign w:val="center"/>
          </w:tcPr>
          <w:p>
            <w:pPr>
              <w:pStyle w:val="TableContents"/>
              <w:bidi w:val="0"/>
              <w:spacing w:before="0" w:after="283"/>
              <w:jc w:val="start"/>
              <w:rPr/>
            </w:pPr>
            <w:r>
              <w:rPr/>
              <w:t xml:space="preserve">Flash Point: </w:t>
            </w:r>
          </w:p>
        </w:tc>
        <w:tc>
          <w:tcPr>
            <w:tcW w:w="2209" w:type="dxa"/>
            <w:tcBorders/>
            <w:vAlign w:val="center"/>
          </w:tcPr>
          <w:p>
            <w:pPr>
              <w:pStyle w:val="TableContents"/>
              <w:bidi w:val="0"/>
              <w:spacing w:before="0" w:after="283"/>
              <w:jc w:val="start"/>
              <w:rPr/>
            </w:pPr>
            <w:r>
              <w:rPr/>
              <w:t xml:space="preserve">208. 9±23. 6 °C </w:t>
            </w:r>
          </w:p>
        </w:tc>
      </w:tr>
      <w:tr>
        <w:trPr/>
        <w:tc>
          <w:tcPr>
            <w:tcW w:w="2135" w:type="dxa"/>
            <w:tcBorders/>
            <w:vAlign w:val="center"/>
          </w:tcPr>
          <w:p>
            <w:pPr>
              <w:pStyle w:val="TableContents"/>
              <w:bidi w:val="0"/>
              <w:spacing w:before="0" w:after="283"/>
              <w:jc w:val="start"/>
              <w:rPr/>
            </w:pPr>
            <w:r>
              <w:rPr/>
              <w:t xml:space="preserve">Index of Refraction: </w:t>
            </w:r>
          </w:p>
        </w:tc>
        <w:tc>
          <w:tcPr>
            <w:tcW w:w="2209" w:type="dxa"/>
            <w:tcBorders/>
            <w:vAlign w:val="center"/>
          </w:tcPr>
          <w:p>
            <w:pPr>
              <w:pStyle w:val="TableContents"/>
              <w:bidi w:val="0"/>
              <w:spacing w:before="0" w:after="283"/>
              <w:jc w:val="start"/>
              <w:rPr/>
            </w:pPr>
            <w:r>
              <w:rPr/>
              <w:t xml:space="preserve">1. 643 </w:t>
            </w:r>
          </w:p>
        </w:tc>
      </w:tr>
      <w:tr>
        <w:trPr/>
        <w:tc>
          <w:tcPr>
            <w:tcW w:w="2135" w:type="dxa"/>
            <w:tcBorders/>
            <w:vAlign w:val="center"/>
          </w:tcPr>
          <w:p>
            <w:pPr>
              <w:pStyle w:val="TableContents"/>
              <w:bidi w:val="0"/>
              <w:spacing w:before="0" w:after="283"/>
              <w:jc w:val="start"/>
              <w:rPr/>
            </w:pPr>
            <w:r>
              <w:rPr/>
              <w:t xml:space="preserve">Molar Refractivity: </w:t>
            </w:r>
          </w:p>
        </w:tc>
        <w:tc>
          <w:tcPr>
            <w:tcW w:w="2209" w:type="dxa"/>
            <w:tcBorders/>
            <w:vAlign w:val="center"/>
          </w:tcPr>
          <w:p>
            <w:pPr>
              <w:pStyle w:val="TableContents"/>
              <w:bidi w:val="0"/>
              <w:spacing w:before="0" w:after="283"/>
              <w:jc w:val="start"/>
              <w:rPr/>
            </w:pPr>
            <w:r>
              <w:rPr/>
              <w:t xml:space="preserve">104. 0±0. 3 cm </w:t>
            </w:r>
            <w:r>
              <w:rPr>
                <w:position w:val="8"/>
                <w:sz w:val="19"/>
              </w:rPr>
              <w:t xml:space="preserve">3 </w:t>
            </w:r>
          </w:p>
        </w:tc>
      </w:tr>
      <w:tr>
        <w:trPr/>
        <w:tc>
          <w:tcPr>
            <w:tcW w:w="2135" w:type="dxa"/>
            <w:tcBorders/>
            <w:vAlign w:val="center"/>
          </w:tcPr>
          <w:p>
            <w:pPr>
              <w:pStyle w:val="TableContents"/>
              <w:bidi w:val="0"/>
              <w:spacing w:before="0" w:after="283"/>
              <w:jc w:val="start"/>
              <w:rPr/>
            </w:pPr>
            <w:r>
              <w:rPr/>
              <w:t xml:space="preserve">#H bond acceptors: </w:t>
            </w:r>
          </w:p>
        </w:tc>
        <w:tc>
          <w:tcPr>
            <w:tcW w:w="2209" w:type="dxa"/>
            <w:tcBorders/>
            <w:vAlign w:val="center"/>
          </w:tcPr>
          <w:p>
            <w:pPr>
              <w:pStyle w:val="TableContents"/>
              <w:bidi w:val="0"/>
              <w:spacing w:before="0" w:after="283"/>
              <w:jc w:val="start"/>
              <w:rPr/>
            </w:pPr>
            <w:r>
              <w:rPr/>
              <w:t xml:space="preserve">6 </w:t>
            </w:r>
          </w:p>
        </w:tc>
      </w:tr>
      <w:tr>
        <w:trPr/>
        <w:tc>
          <w:tcPr>
            <w:tcW w:w="2135" w:type="dxa"/>
            <w:tcBorders/>
            <w:vAlign w:val="center"/>
          </w:tcPr>
          <w:p>
            <w:pPr>
              <w:pStyle w:val="TableContents"/>
              <w:bidi w:val="0"/>
              <w:spacing w:before="0" w:after="283"/>
              <w:jc w:val="start"/>
              <w:rPr/>
            </w:pPr>
            <w:r>
              <w:rPr/>
              <w:t xml:space="preserve">#H bond donors: </w:t>
            </w:r>
          </w:p>
        </w:tc>
        <w:tc>
          <w:tcPr>
            <w:tcW w:w="2209" w:type="dxa"/>
            <w:tcBorders/>
            <w:vAlign w:val="center"/>
          </w:tcPr>
          <w:p>
            <w:pPr>
              <w:pStyle w:val="TableContents"/>
              <w:bidi w:val="0"/>
              <w:spacing w:before="0" w:after="283"/>
              <w:jc w:val="start"/>
              <w:rPr/>
            </w:pPr>
            <w:r>
              <w:rPr/>
              <w:t xml:space="preserve">2 </w:t>
            </w:r>
          </w:p>
        </w:tc>
      </w:tr>
      <w:tr>
        <w:trPr/>
        <w:tc>
          <w:tcPr>
            <w:tcW w:w="2135" w:type="dxa"/>
            <w:tcBorders/>
            <w:vAlign w:val="center"/>
          </w:tcPr>
          <w:p>
            <w:pPr>
              <w:pStyle w:val="TableContents"/>
              <w:bidi w:val="0"/>
              <w:spacing w:before="0" w:after="283"/>
              <w:jc w:val="start"/>
              <w:rPr/>
            </w:pPr>
            <w:r>
              <w:rPr/>
              <w:t xml:space="preserve">#Freely Rotating Bonds: </w:t>
            </w:r>
          </w:p>
        </w:tc>
        <w:tc>
          <w:tcPr>
            <w:tcW w:w="2209" w:type="dxa"/>
            <w:tcBorders/>
            <w:vAlign w:val="center"/>
          </w:tcPr>
          <w:p>
            <w:pPr>
              <w:pStyle w:val="TableContents"/>
              <w:bidi w:val="0"/>
              <w:spacing w:before="0" w:after="283"/>
              <w:jc w:val="start"/>
              <w:rPr/>
            </w:pPr>
            <w:r>
              <w:rPr/>
              <w:t xml:space="preserve">8 </w:t>
            </w:r>
          </w:p>
        </w:tc>
      </w:tr>
      <w:tr>
        <w:trPr/>
        <w:tc>
          <w:tcPr>
            <w:tcW w:w="2135" w:type="dxa"/>
            <w:tcBorders/>
            <w:vAlign w:val="center"/>
          </w:tcPr>
          <w:p>
            <w:pPr>
              <w:pStyle w:val="TableContents"/>
              <w:bidi w:val="0"/>
              <w:spacing w:before="0" w:after="283"/>
              <w:jc w:val="start"/>
              <w:rPr/>
            </w:pPr>
            <w:r>
              <w:rPr/>
              <w:t xml:space="preserve">#Rule of 5 Violations: </w:t>
            </w:r>
          </w:p>
        </w:tc>
        <w:tc>
          <w:tcPr>
            <w:tcW w:w="2209"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2221"/>
        <w:gridCol w:w="2123"/>
      </w:tblGrid>
      <w:tr>
        <w:trPr/>
        <w:tc>
          <w:tcPr>
            <w:tcW w:w="2221" w:type="dxa"/>
            <w:tcBorders/>
            <w:vAlign w:val="center"/>
          </w:tcPr>
          <w:p>
            <w:pPr>
              <w:pStyle w:val="TableContents"/>
              <w:bidi w:val="0"/>
              <w:spacing w:before="0" w:after="283"/>
              <w:jc w:val="start"/>
              <w:rPr/>
            </w:pPr>
            <w:r>
              <w:rPr/>
              <w:t xml:space="preserve">ACD/LogP: </w:t>
            </w:r>
          </w:p>
        </w:tc>
        <w:tc>
          <w:tcPr>
            <w:tcW w:w="2123" w:type="dxa"/>
            <w:tcBorders/>
            <w:vAlign w:val="center"/>
          </w:tcPr>
          <w:p>
            <w:pPr>
              <w:pStyle w:val="TableContents"/>
              <w:bidi w:val="0"/>
              <w:spacing w:before="0" w:after="283"/>
              <w:jc w:val="start"/>
              <w:rPr/>
            </w:pPr>
            <w:r>
              <w:rPr/>
              <w:t xml:space="preserve">2. 92 </w:t>
            </w:r>
          </w:p>
        </w:tc>
      </w:tr>
      <w:tr>
        <w:trPr/>
        <w:tc>
          <w:tcPr>
            <w:tcW w:w="2221" w:type="dxa"/>
            <w:tcBorders/>
            <w:vAlign w:val="center"/>
          </w:tcPr>
          <w:p>
            <w:pPr>
              <w:pStyle w:val="TableContents"/>
              <w:bidi w:val="0"/>
              <w:spacing w:before="0" w:after="283"/>
              <w:jc w:val="start"/>
              <w:rPr/>
            </w:pPr>
            <w:r>
              <w:rPr/>
              <w:t xml:space="preserve">ACD/LogD (pH 5. 5): </w:t>
            </w:r>
          </w:p>
        </w:tc>
        <w:tc>
          <w:tcPr>
            <w:tcW w:w="2123" w:type="dxa"/>
            <w:tcBorders/>
            <w:vAlign w:val="center"/>
          </w:tcPr>
          <w:p>
            <w:pPr>
              <w:pStyle w:val="TableContents"/>
              <w:bidi w:val="0"/>
              <w:spacing w:before="0" w:after="283"/>
              <w:jc w:val="start"/>
              <w:rPr/>
            </w:pPr>
            <w:r>
              <w:rPr/>
              <w:t xml:space="preserve">2. 56 </w:t>
            </w:r>
          </w:p>
        </w:tc>
      </w:tr>
      <w:tr>
        <w:trPr/>
        <w:tc>
          <w:tcPr>
            <w:tcW w:w="2221" w:type="dxa"/>
            <w:tcBorders/>
            <w:vAlign w:val="center"/>
          </w:tcPr>
          <w:p>
            <w:pPr>
              <w:pStyle w:val="TableContents"/>
              <w:bidi w:val="0"/>
              <w:spacing w:before="0" w:after="283"/>
              <w:jc w:val="start"/>
              <w:rPr/>
            </w:pPr>
            <w:r>
              <w:rPr/>
              <w:t xml:space="preserve">ACD/BCF (pH 5. 5): </w:t>
            </w:r>
          </w:p>
        </w:tc>
        <w:tc>
          <w:tcPr>
            <w:tcW w:w="2123" w:type="dxa"/>
            <w:tcBorders/>
            <w:vAlign w:val="center"/>
          </w:tcPr>
          <w:p>
            <w:pPr>
              <w:pStyle w:val="TableContents"/>
              <w:bidi w:val="0"/>
              <w:spacing w:before="0" w:after="283"/>
              <w:jc w:val="start"/>
              <w:rPr/>
            </w:pPr>
            <w:r>
              <w:rPr/>
              <w:t xml:space="preserve">52. 05 </w:t>
            </w:r>
          </w:p>
        </w:tc>
      </w:tr>
      <w:tr>
        <w:trPr/>
        <w:tc>
          <w:tcPr>
            <w:tcW w:w="2221" w:type="dxa"/>
            <w:tcBorders/>
            <w:vAlign w:val="center"/>
          </w:tcPr>
          <w:p>
            <w:pPr>
              <w:pStyle w:val="TableContents"/>
              <w:bidi w:val="0"/>
              <w:spacing w:before="0" w:after="283"/>
              <w:jc w:val="start"/>
              <w:rPr/>
            </w:pPr>
            <w:r>
              <w:rPr/>
              <w:t xml:space="preserve">ACD/KOC (pH 5. 5): </w:t>
            </w:r>
          </w:p>
        </w:tc>
        <w:tc>
          <w:tcPr>
            <w:tcW w:w="2123" w:type="dxa"/>
            <w:tcBorders/>
            <w:vAlign w:val="center"/>
          </w:tcPr>
          <w:p>
            <w:pPr>
              <w:pStyle w:val="TableContents"/>
              <w:bidi w:val="0"/>
              <w:spacing w:before="0" w:after="283"/>
              <w:jc w:val="start"/>
              <w:rPr/>
            </w:pPr>
            <w:r>
              <w:rPr/>
              <w:t xml:space="preserve">588. 53 </w:t>
            </w:r>
          </w:p>
        </w:tc>
      </w:tr>
      <w:tr>
        <w:trPr/>
        <w:tc>
          <w:tcPr>
            <w:tcW w:w="2221" w:type="dxa"/>
            <w:tcBorders/>
            <w:vAlign w:val="center"/>
          </w:tcPr>
          <w:p>
            <w:pPr>
              <w:pStyle w:val="TableContents"/>
              <w:bidi w:val="0"/>
              <w:spacing w:before="0" w:after="283"/>
              <w:jc w:val="start"/>
              <w:rPr/>
            </w:pPr>
            <w:r>
              <w:rPr/>
              <w:t xml:space="preserve">ACD/LogD (pH 7. 4): </w:t>
            </w:r>
          </w:p>
        </w:tc>
        <w:tc>
          <w:tcPr>
            <w:tcW w:w="2123" w:type="dxa"/>
            <w:tcBorders/>
            <w:vAlign w:val="center"/>
          </w:tcPr>
          <w:p>
            <w:pPr>
              <w:pStyle w:val="TableContents"/>
              <w:bidi w:val="0"/>
              <w:spacing w:before="0" w:after="283"/>
              <w:jc w:val="start"/>
              <w:rPr/>
            </w:pPr>
            <w:r>
              <w:rPr/>
              <w:t xml:space="preserve">2. 45 </w:t>
            </w:r>
          </w:p>
        </w:tc>
      </w:tr>
      <w:tr>
        <w:trPr/>
        <w:tc>
          <w:tcPr>
            <w:tcW w:w="2221" w:type="dxa"/>
            <w:tcBorders/>
            <w:vAlign w:val="center"/>
          </w:tcPr>
          <w:p>
            <w:pPr>
              <w:pStyle w:val="TableContents"/>
              <w:bidi w:val="0"/>
              <w:spacing w:before="0" w:after="283"/>
              <w:jc w:val="start"/>
              <w:rPr/>
            </w:pPr>
            <w:r>
              <w:rPr/>
              <w:t xml:space="preserve">ACD/BCF (pH 7. 4): </w:t>
            </w:r>
          </w:p>
        </w:tc>
        <w:tc>
          <w:tcPr>
            <w:tcW w:w="2123" w:type="dxa"/>
            <w:tcBorders/>
            <w:vAlign w:val="center"/>
          </w:tcPr>
          <w:p>
            <w:pPr>
              <w:pStyle w:val="TableContents"/>
              <w:bidi w:val="0"/>
              <w:spacing w:before="0" w:after="283"/>
              <w:jc w:val="start"/>
              <w:rPr/>
            </w:pPr>
            <w:r>
              <w:rPr/>
              <w:t xml:space="preserve">40. 49 </w:t>
            </w:r>
          </w:p>
        </w:tc>
      </w:tr>
      <w:tr>
        <w:trPr/>
        <w:tc>
          <w:tcPr>
            <w:tcW w:w="2221" w:type="dxa"/>
            <w:tcBorders/>
            <w:vAlign w:val="center"/>
          </w:tcPr>
          <w:p>
            <w:pPr>
              <w:pStyle w:val="TableContents"/>
              <w:bidi w:val="0"/>
              <w:spacing w:before="0" w:after="283"/>
              <w:jc w:val="start"/>
              <w:rPr/>
            </w:pPr>
            <w:r>
              <w:rPr/>
              <w:t xml:space="preserve">ACD/KOC (pH 7. 4): </w:t>
            </w:r>
          </w:p>
        </w:tc>
        <w:tc>
          <w:tcPr>
            <w:tcW w:w="2123" w:type="dxa"/>
            <w:tcBorders/>
            <w:vAlign w:val="center"/>
          </w:tcPr>
          <w:p>
            <w:pPr>
              <w:pStyle w:val="TableContents"/>
              <w:bidi w:val="0"/>
              <w:spacing w:before="0" w:after="283"/>
              <w:jc w:val="start"/>
              <w:rPr/>
            </w:pPr>
            <w:r>
              <w:rPr/>
              <w:t xml:space="preserve">457. 87 </w:t>
            </w:r>
          </w:p>
        </w:tc>
      </w:tr>
      <w:tr>
        <w:trPr/>
        <w:tc>
          <w:tcPr>
            <w:tcW w:w="2221" w:type="dxa"/>
            <w:tcBorders/>
            <w:vAlign w:val="center"/>
          </w:tcPr>
          <w:p>
            <w:pPr>
              <w:pStyle w:val="TableContents"/>
              <w:bidi w:val="0"/>
              <w:spacing w:before="0" w:after="283"/>
              <w:jc w:val="start"/>
              <w:rPr/>
            </w:pPr>
            <w:r>
              <w:rPr/>
              <w:t xml:space="preserve">Polar Surface Area: </w:t>
            </w:r>
          </w:p>
        </w:tc>
        <w:tc>
          <w:tcPr>
            <w:tcW w:w="2123" w:type="dxa"/>
            <w:tcBorders/>
            <w:vAlign w:val="center"/>
          </w:tcPr>
          <w:p>
            <w:pPr>
              <w:pStyle w:val="TableContents"/>
              <w:bidi w:val="0"/>
              <w:spacing w:before="0" w:after="283"/>
              <w:jc w:val="start"/>
              <w:rPr/>
            </w:pPr>
            <w:r>
              <w:rPr/>
              <w:t xml:space="preserve">93 Å </w:t>
            </w:r>
            <w:r>
              <w:rPr>
                <w:position w:val="8"/>
                <w:sz w:val="19"/>
              </w:rPr>
              <w:t xml:space="preserve">2 </w:t>
            </w:r>
          </w:p>
        </w:tc>
      </w:tr>
      <w:tr>
        <w:trPr/>
        <w:tc>
          <w:tcPr>
            <w:tcW w:w="2221" w:type="dxa"/>
            <w:tcBorders/>
            <w:vAlign w:val="center"/>
          </w:tcPr>
          <w:p>
            <w:pPr>
              <w:pStyle w:val="TableContents"/>
              <w:bidi w:val="0"/>
              <w:spacing w:before="0" w:after="283"/>
              <w:jc w:val="start"/>
              <w:rPr/>
            </w:pPr>
            <w:r>
              <w:rPr/>
              <w:t xml:space="preserve">Polarizability: </w:t>
            </w:r>
          </w:p>
        </w:tc>
        <w:tc>
          <w:tcPr>
            <w:tcW w:w="2123" w:type="dxa"/>
            <w:tcBorders/>
            <w:vAlign w:val="center"/>
          </w:tcPr>
          <w:p>
            <w:pPr>
              <w:pStyle w:val="TableContents"/>
              <w:bidi w:val="0"/>
              <w:spacing w:before="0" w:after="283"/>
              <w:jc w:val="start"/>
              <w:rPr/>
            </w:pPr>
            <w:r>
              <w:rPr/>
              <w:t xml:space="preserve">41. 2±0. 5 10 </w:t>
            </w:r>
            <w:r>
              <w:rPr>
                <w:position w:val="8"/>
                <w:sz w:val="19"/>
              </w:rPr>
              <w:t xml:space="preserve">-24 </w:t>
            </w:r>
            <w:r>
              <w:rPr/>
              <w:t xml:space="preserve">cm </w:t>
            </w:r>
            <w:r>
              <w:rPr>
                <w:position w:val="8"/>
                <w:sz w:val="19"/>
              </w:rPr>
              <w:t xml:space="preserve">3 </w:t>
            </w:r>
          </w:p>
        </w:tc>
      </w:tr>
      <w:tr>
        <w:trPr/>
        <w:tc>
          <w:tcPr>
            <w:tcW w:w="2221" w:type="dxa"/>
            <w:tcBorders/>
            <w:vAlign w:val="center"/>
          </w:tcPr>
          <w:p>
            <w:pPr>
              <w:pStyle w:val="TableContents"/>
              <w:bidi w:val="0"/>
              <w:spacing w:before="0" w:after="283"/>
              <w:jc w:val="start"/>
              <w:rPr/>
            </w:pPr>
            <w:r>
              <w:rPr/>
              <w:t xml:space="preserve">Surface Tension: </w:t>
            </w:r>
          </w:p>
        </w:tc>
        <w:tc>
          <w:tcPr>
            <w:tcW w:w="2123" w:type="dxa"/>
            <w:tcBorders/>
            <w:vAlign w:val="center"/>
          </w:tcPr>
          <w:p>
            <w:pPr>
              <w:pStyle w:val="TableContents"/>
              <w:bidi w:val="0"/>
              <w:spacing w:before="0" w:after="283"/>
              <w:jc w:val="start"/>
              <w:rPr/>
            </w:pPr>
            <w:r>
              <w:rPr/>
              <w:t xml:space="preserve">54. 3±3. 0 dyne/cm </w:t>
            </w:r>
          </w:p>
        </w:tc>
      </w:tr>
      <w:tr>
        <w:trPr/>
        <w:tc>
          <w:tcPr>
            <w:tcW w:w="2221" w:type="dxa"/>
            <w:tcBorders/>
            <w:vAlign w:val="center"/>
          </w:tcPr>
          <w:p>
            <w:pPr>
              <w:pStyle w:val="TableContents"/>
              <w:bidi w:val="0"/>
              <w:spacing w:before="0" w:after="283"/>
              <w:jc w:val="start"/>
              <w:rPr/>
            </w:pPr>
            <w:r>
              <w:rPr/>
              <w:t xml:space="preserve">Molar Volume: </w:t>
            </w:r>
          </w:p>
        </w:tc>
        <w:tc>
          <w:tcPr>
            <w:tcW w:w="2123" w:type="dxa"/>
            <w:tcBorders/>
            <w:vAlign w:val="center"/>
          </w:tcPr>
          <w:p>
            <w:pPr>
              <w:pStyle w:val="TableContents"/>
              <w:bidi w:val="0"/>
              <w:spacing w:before="0" w:after="283"/>
              <w:jc w:val="start"/>
              <w:rPr/>
            </w:pPr>
            <w:r>
              <w:rPr/>
              <w:t xml:space="preserve">287. 9±3.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3. 29Boiling Pt, Melting Pt, Vapor Pressure Estimations (MPBPWIN v1. 42): Boiling Pt (deg C): 521. 33 (Adapted Stein &amp; Brown method)Melting Pt (deg C): 222. 56 (Mean or Weighted MP)VP(mm Hg, 25 deg C): 3. 08E-012 (Modified Grain method)MP (exp database): 183 deg CSubcooled liquid VP: 1. 37E-010 mm Hg (25 deg C, Mod-Grain method)Water Solubility Estimate from Log Kow (WSKOW v1. 41): Water Solubility at 25 deg C (mg/L): 7. 475log Kow used: 3. 29 (estimated)no-melting pt equation usedWater Sol Estimate from Fragments: Wat Sol (v1. 01 est) = 14. 554 mg/LECOSAR Class Program (ECOSAR v0. 99h): Class(es) found: DiketonesPhenolsVinyl/Allyl KetonesHenrys Law Constant (25 deg C) [HENRYWIN v3. 10]: Bond Method : 7. 04E-022 atm-m3/moleGroup Method: IncompleteHenrys LC [VP/WSol estimate using EPI values]: 1. 997E-013 atm-m3/moleLog Octanol-Air Partition Coefficient (25 deg C) [KOAWIN v1. 10]: Log Kow used: 3. 29 (KowWin est)Log Kaw used: -19. 541 (HenryWin est)Log Koa (KOAWIN v1. 10 estimate): 22. 831Log Koa (experimental database): NoneProbability of Rapid Biodegradation (BIOWIN v4. 10): Biowin1 (Linear Model) : 1. 0813Biowin2 (Non-Linear Model) : 0. 9603Expert Survey Biodegradation Results: Biowin3 (Ultimate Survey Model): 2. 3366 (weeks-months)Biowin4 (Primary Survey Model) : 3. 5054 (days-weeks )MITI Biodegradation Probability: Biowin5 (MITI Linear Model) : 0. 4949Biowin6 (MITI Non-Linear Model): 0. 1799Anaerobic Biodegradation Probability: Biowin7 (Anaerobic Linear Model): -0. 4301Ready Biodegradability Prediction: NOHydrocarbon Biodegradation (BioHCwin v1. 01): Structure incompatible with current estimation method! Sorption to aerosols (25 Dec C)[AEROWIN v1. 00]: Vapor pressure (liquid/subcooled): 1. 83E-008 Pa (1. 37E-010 mm Hg)Log Koa (Koawin est ): 22. 831Kp (particle/gas partition coef. (m3/ug)): Mackay model : 164 Octanol/air (Koa) model: 1. 66E+010 Fraction sorbed to airborne particulates (phi): Junge-Pankow model : 1 Mackay model : 1 Octanol/air (Koa) model: 1 Atmospheric Oxidation (25 deg C) [AopWin v1. 92]: Hydroxyl Radicals Reaction: OVERALL OH Rate Constant = 158. 1909 E-12 cm3/molecule-sec [Cis-isomer]OVERALL OH Rate Constant = 171. 8709 E-12 cm3/molecule-sec [Trans-isomer]Half-Life = 0. 811 Hrs (12-hr day; 1. 5E6 OH/cm3) [Cis-isomer]Half-Life = 0. 747 Hrs (12-hr day; 1. 5E6 OH/cm3) [Trans-isomer]Ozone Reaction: OVERALL Ozone Rate Constant = 2. 100000 E-17 cm3/molecule-sec [Cis-]OVERALL Ozone Rate Constant = 4. 200000 E-17 cm3/molecule-sec [Trans-]Half-Life = 13. 097 Hrs (at 7E11 mol/cm3) [Cis-isomer]Half-Life = 6. 549 Hrs (at 7E11 mol/cm3) [Trans-isomer]Reaction With Nitrate Radicals May Be Important! Fraction sorbed to airborne particulates (phi): 1 (Junge, Mackay)Note: the sorbed fraction may be resistant to atmospheric oxidationSoil Adsorption Coefficient (PCKOCWIN v1. 66): Koc : 5161Log Koc: 3. 713 Aqueous Base/Acid-Catalyzed Hydrolysis (25 deg C) [HYDROWIN v1. 67]: Rate constants can NOT be estimated for this structure! Bioaccumulation Estimates from Log Kow (BCFWIN v2. 17): Log BCF from regression-based method = 1. 831 (BCF = 67. 73)log Kow used: 3. 29 (estimated)Volatilization from Water: Henry LC: 7. 04E-022 atm-m3/mole (estimated by Bond SAR Method)Half-Life from Model River: 1. 596E+018 hours (6. 651E+016 days)Half-Life from Model Lake : 1. 741E+019 hours (7. 256E+017 days)Removal In Wastewater Treatment: Total removal: 9. 07 percentTotal biodegradation: 0. 15 percentTotal sludge adsorption: 8. 91 percentTotal to Air: 0. 00 percent(using 10000 hr Bio P, A, S)Level III Fugacity Model: Mass Amount Half-Life Emissions(percent) (hr) (kg/hr)Air 1. 72e-011 1. 44 1000 Water 12 900 1000 Soil 87. 5 1. 8e+003 1000 Sediment 0. 53 8. 1e+003 0 Persistence Time: 1. 82e+003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9" w:leader="none"/>
        </w:tabs>
        <w:bidi w:val="0"/>
        <w:spacing w:before="0" w:after="0"/>
        <w:ind w:start="709" w:hanging="283"/>
        <w:jc w:val="start"/>
        <w:rPr/>
      </w:pPr>
      <w:r>
        <w:rPr/>
        <w:t xml:space="preserve">1-Click Docking </w:t>
      </w:r>
    </w:p>
    <w:p>
      <w:pPr>
        <w:pStyle w:val="TextBody"/>
        <w:numPr>
          <w:ilvl w:val="0"/>
          <w:numId w:val="4"/>
        </w:numPr>
        <w:tabs>
          <w:tab w:val="clear" w:pos="1134"/>
          <w:tab w:val="left" w:pos="709" w:leader="none"/>
        </w:tabs>
        <w:bidi w:val="0"/>
        <w:spacing w:before="0" w:after="283"/>
        <w:ind w:start="709"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https://assignbuster.com/curcumin-c21h20o6-structure/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Curcumin c21h20o6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cumin-c21h20o6-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Curcumin c21h20o6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Curcumin c21h20o6 structure</dc:title>
  <dc:subject>Others;</dc:subject>
  <dc:creator>AssignBuster</dc:creator>
  <cp:keywords/>
  <dc:description>6 C Molar Refractivity 104.0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